
<file path=[Content_Types].xml><?xml version="1.0" encoding="utf-8"?>
<Types xmlns="http://schemas.openxmlformats.org/package/2006/content-types">
  <Default Extension="xml" ContentType="application/xml"/>
  <Default Extension="rels" ContentType="application/vnd.openxmlformats-package.relationships+xml"/>
  <Default Extension="png" ContentType="image/png"/>
  <Default Extension="jpeg" ContentType="image/jpeg"/>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xml" ContentType="application/vnd.openxmlformats-officedocument.wordprocessingml.document.main+xml"/>
  <Override PartName="/word/media/image1.jpeg" ContentType="image/jpeg"/>
  <Override PartName="/word/media/image2.jpeg" ContentType="image/jpeg"/>
  <Override PartName="/word/media/image3.jpeg" ContentType="image/jpeg"/>
  <Override PartName="/word/media/image4.jpeg" ContentType="image/jpeg"/>
  <Override PartName="/word/styles.xml" ContentType="application/vnd.openxmlformats-officedocument.wordprocessingml.styl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numbering.xml" ContentType="application/vnd.openxmlformats-officedocument.wordprocessingml.numbering+xml"/>
  <Override PartName="/word/fontTable.xml" ContentType="application/vnd.openxmlformats-officedocument.wordprocessingml.fontTable+xml"/>
  <Override PartName="/word/settings.xml" ContentType="application/vnd.openxmlformats-officedocument.wordprocessingml.settings+xml"/>
  <Override PartName="/word/theme/theme1.xml" ContentType="application/vnd.openxmlformats-officedocument.theme+xml"/>
  <Override PartName="/word/_rels/document.xml.rels" ContentType="application/vnd.openxmlformats-package.relationships+xml"/>
  <Override PartName="/_rels/.rels" ContentType="application/vnd.openxmlformats-package.relationships+xml"/>
</Types>
</file>

<file path=_rels/.rels><?xml version="1.0" encoding="UTF-8"?>
<Relationships xmlns="http://schemas.openxmlformats.org/package/2006/relationships"><Relationship Id="rId1" Type="http://schemas.openxmlformats.org/package/2006/relationships/metadata/core-properties" Target="docProps/core.xml"/><Relationship Id="rId2" Type="http://schemas.openxmlformats.org/officeDocument/2006/relationships/extended-properties" Target="docProps/app.xml"/><Relationship Id="rId3" Type="http://schemas.openxmlformats.org/officeDocument/2006/relationships/custom-properties" Target="docProps/custom.xml"/><Relationship Id="rId4" Type="http://schemas.openxmlformats.org/officeDocument/2006/relationships/officeDocument" Target="word/document.xml"/>
</Relationships>
</file>

<file path=word/document.xml><?xml version="1.0" encoding="utf-8"?>
<w:document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body>
    <w:p>
      <w:pPr>
        <w:pStyle w:val="Normal"/>
        <w:spacing w:lineRule="auto" w:line="240" w:before="0" w:after="0"/>
        <w:jc w:val="both"/>
        <w:rPr>
          <w:rFonts w:cs="Calibri"/>
          <w:color w:val="000000"/>
          <w:sz w:val="40"/>
          <w:szCs w:val="40"/>
        </w:rPr>
      </w:pPr>
      <w:r>
        <w:rPr>
          <w:rFonts w:cs="Calibri"/>
          <w:color w:val="000000"/>
          <w:sz w:val="40"/>
          <w:szCs w:val="40"/>
        </w:rPr>
      </w:r>
    </w:p>
    <w:p>
      <w:pPr>
        <w:pStyle w:val="Normal"/>
        <w:spacing w:lineRule="auto" w:line="240" w:before="0" w:after="0"/>
        <w:jc w:val="both"/>
        <w:rPr>
          <w:rFonts w:cs="Calibri"/>
          <w:color w:val="000000"/>
          <w:sz w:val="40"/>
          <w:szCs w:val="40"/>
        </w:rPr>
      </w:pPr>
      <w:r>
        <w:rPr>
          <w:rFonts w:cs="Calibri"/>
          <w:color w:val="000000"/>
          <w:sz w:val="40"/>
          <w:szCs w:val="40"/>
        </w:rPr>
      </w:r>
    </w:p>
    <w:p>
      <w:pPr>
        <w:pStyle w:val="Normal"/>
        <w:spacing w:lineRule="auto" w:line="240" w:before="0" w:after="0"/>
        <w:jc w:val="both"/>
        <w:rPr>
          <w:rFonts w:cs="Calibri"/>
          <w:color w:val="000000"/>
          <w:sz w:val="40"/>
          <w:szCs w:val="40"/>
        </w:rPr>
      </w:pPr>
      <w:r>
        <w:rPr>
          <w:rFonts w:cs="Calibri"/>
          <w:color w:val="000000"/>
          <w:sz w:val="40"/>
          <w:szCs w:val="40"/>
        </w:rPr>
      </w:r>
    </w:p>
    <w:p>
      <w:pPr>
        <w:pStyle w:val="Normal"/>
        <w:spacing w:lineRule="auto" w:line="240" w:before="0" w:after="0"/>
        <w:jc w:val="both"/>
        <w:rPr>
          <w:rFonts w:cs="Calibri"/>
          <w:color w:val="000000"/>
          <w:sz w:val="40"/>
          <w:szCs w:val="40"/>
        </w:rPr>
      </w:pPr>
      <w:r>
        <w:rPr>
          <w:rFonts w:cs="Calibri"/>
          <w:color w:val="000000"/>
          <w:sz w:val="40"/>
          <w:szCs w:val="40"/>
        </w:rPr>
      </w:r>
    </w:p>
    <w:p>
      <w:pPr>
        <w:pStyle w:val="Normal"/>
        <w:spacing w:lineRule="auto" w:line="240" w:before="0" w:after="0"/>
        <w:jc w:val="both"/>
        <w:rPr>
          <w:rFonts w:cs="Calibri"/>
          <w:color w:val="000000"/>
          <w:sz w:val="40"/>
          <w:szCs w:val="40"/>
        </w:rPr>
      </w:pPr>
      <w:r>
        <w:rPr>
          <w:rFonts w:cs="Calibri"/>
          <w:color w:val="000000"/>
          <w:sz w:val="40"/>
          <w:szCs w:val="40"/>
        </w:rPr>
      </w:r>
    </w:p>
    <w:p>
      <w:pPr>
        <w:pStyle w:val="Normal"/>
        <w:spacing w:lineRule="auto" w:line="240" w:before="0" w:after="0"/>
        <w:jc w:val="right"/>
        <w:rPr>
          <w:rFonts w:cs="Calibri"/>
          <w:color w:val="000000"/>
          <w:sz w:val="40"/>
          <w:szCs w:val="40"/>
        </w:rPr>
      </w:pPr>
      <w:r>
        <w:rPr>
          <w:rFonts w:cs="Calibri"/>
          <w:color w:val="000000"/>
          <w:sz w:val="40"/>
          <w:szCs w:val="40"/>
        </w:rPr>
      </w:r>
    </w:p>
    <w:p>
      <w:pPr>
        <w:pStyle w:val="Normal"/>
        <w:spacing w:lineRule="auto" w:line="240" w:before="0" w:after="0"/>
        <w:jc w:val="right"/>
        <w:rPr>
          <w:rFonts w:cs="Calibri"/>
          <w:b/>
          <w:color w:val="000000"/>
          <w:sz w:val="44"/>
          <w:szCs w:val="40"/>
        </w:rPr>
      </w:pPr>
      <w:r>
        <w:rPr>
          <w:rFonts w:cs="Calibri"/>
          <w:b/>
          <w:color w:val="000000"/>
          <w:sz w:val="44"/>
          <w:szCs w:val="40"/>
        </w:rPr>
        <w:t>SPECYFIKACJA TECHNICZNA</w:t>
      </w:r>
    </w:p>
    <w:p>
      <w:pPr>
        <w:pStyle w:val="Normal"/>
        <w:spacing w:lineRule="auto" w:line="240" w:before="0" w:after="0"/>
        <w:jc w:val="right"/>
        <w:rPr>
          <w:rFonts w:cs="Calibri"/>
          <w:b/>
          <w:color w:val="000000"/>
          <w:sz w:val="44"/>
          <w:szCs w:val="40"/>
        </w:rPr>
      </w:pPr>
      <w:r>
        <w:rPr>
          <w:rFonts w:cs="Calibri"/>
          <w:b/>
          <w:color w:val="000000"/>
          <w:sz w:val="44"/>
          <w:szCs w:val="40"/>
        </w:rPr>
        <w:t>WYKONANIA I ODBIORU ROBÓT</w:t>
      </w:r>
    </w:p>
    <w:p>
      <w:pPr>
        <w:pStyle w:val="Normal"/>
        <w:spacing w:lineRule="auto" w:line="240" w:before="0" w:after="0"/>
        <w:jc w:val="right"/>
        <w:rPr>
          <w:rFonts w:cs="Calibri"/>
          <w:b/>
          <w:color w:val="000000"/>
          <w:sz w:val="40"/>
          <w:szCs w:val="40"/>
        </w:rPr>
      </w:pPr>
      <w:r>
        <w:rPr>
          <w:rFonts w:cs="Calibri"/>
          <w:b/>
          <w:color w:val="000000"/>
          <w:sz w:val="40"/>
          <w:szCs w:val="40"/>
        </w:rPr>
      </w:r>
    </w:p>
    <w:p>
      <w:pPr>
        <w:pStyle w:val="Normal"/>
        <w:spacing w:lineRule="auto" w:line="240" w:before="0" w:after="0"/>
        <w:jc w:val="right"/>
        <w:rPr>
          <w:rFonts w:cs="Calibri"/>
          <w:b/>
          <w:color w:val="000000"/>
          <w:sz w:val="40"/>
          <w:szCs w:val="40"/>
        </w:rPr>
      </w:pPr>
      <w:r>
        <w:rPr>
          <w:rFonts w:cs="Calibri"/>
          <w:b/>
          <w:color w:val="000000"/>
          <w:sz w:val="40"/>
          <w:szCs w:val="40"/>
        </w:rPr>
      </w:r>
    </w:p>
    <w:p>
      <w:pPr>
        <w:pStyle w:val="Normal"/>
        <w:spacing w:lineRule="auto" w:line="240" w:before="0" w:after="0"/>
        <w:jc w:val="right"/>
        <w:rPr>
          <w:rFonts w:cs="Calibri"/>
          <w:b/>
          <w:color w:val="000000"/>
          <w:sz w:val="40"/>
          <w:szCs w:val="40"/>
        </w:rPr>
      </w:pPr>
      <w:r>
        <w:rPr>
          <w:rFonts w:cs="Calibri"/>
          <w:b/>
          <w:color w:val="000000"/>
          <w:sz w:val="40"/>
          <w:szCs w:val="40"/>
        </w:rPr>
      </w:r>
    </w:p>
    <w:p>
      <w:pPr>
        <w:pStyle w:val="Normal"/>
        <w:spacing w:lineRule="auto" w:line="240" w:before="0" w:after="0"/>
        <w:jc w:val="right"/>
        <w:rPr>
          <w:rFonts w:cs="Calibri"/>
          <w:b/>
          <w:color w:val="000000"/>
          <w:sz w:val="40"/>
          <w:szCs w:val="40"/>
        </w:rPr>
      </w:pPr>
      <w:r>
        <w:rPr>
          <w:rFonts w:cs="Calibri"/>
          <w:b/>
          <w:color w:val="000000"/>
          <w:sz w:val="40"/>
          <w:szCs w:val="40"/>
        </w:rPr>
      </w:r>
    </w:p>
    <w:p>
      <w:pPr>
        <w:pStyle w:val="Normal"/>
        <w:spacing w:lineRule="auto" w:line="240" w:before="0" w:after="0"/>
        <w:jc w:val="right"/>
        <w:rPr>
          <w:rFonts w:cs="Calibri"/>
          <w:b/>
          <w:color w:val="000000"/>
          <w:sz w:val="28"/>
          <w:szCs w:val="28"/>
        </w:rPr>
      </w:pPr>
      <w:r>
        <w:rPr>
          <w:rFonts w:cs="Calibri"/>
          <w:b/>
          <w:color w:val="000000"/>
          <w:sz w:val="28"/>
          <w:szCs w:val="28"/>
        </w:rPr>
        <w:t>NAWIERZCHNIA Z BETONU ASFALTOWEGO.</w:t>
      </w:r>
    </w:p>
    <w:p>
      <w:pPr>
        <w:pStyle w:val="Normal"/>
        <w:spacing w:lineRule="auto" w:line="240" w:before="0" w:after="0"/>
        <w:jc w:val="right"/>
        <w:rPr>
          <w:rFonts w:cs="Calibri"/>
          <w:color w:val="000000"/>
          <w:sz w:val="28"/>
          <w:szCs w:val="28"/>
        </w:rPr>
      </w:pPr>
      <w:r>
        <w:rPr>
          <w:rFonts w:cs="Calibri"/>
          <w:b/>
          <w:color w:val="000000"/>
          <w:sz w:val="28"/>
          <w:szCs w:val="28"/>
        </w:rPr>
        <w:t>WARSTWA ŚCIERALNA</w:t>
      </w:r>
    </w:p>
    <w:p>
      <w:pPr>
        <w:pStyle w:val="Normal"/>
        <w:spacing w:lineRule="auto" w:line="240" w:before="0" w:after="0"/>
        <w:jc w:val="both"/>
        <w:rPr>
          <w:rFonts w:cs="Calibri"/>
          <w:color w:val="000000"/>
          <w:sz w:val="28"/>
          <w:szCs w:val="28"/>
        </w:rPr>
      </w:pPr>
      <w:r>
        <w:rPr>
          <w:rFonts w:cs="Calibri"/>
          <w:color w:val="000000"/>
          <w:sz w:val="28"/>
          <w:szCs w:val="28"/>
        </w:rPr>
      </w:r>
    </w:p>
    <w:p>
      <w:pPr>
        <w:pStyle w:val="Normal"/>
        <w:spacing w:lineRule="auto" w:line="240" w:before="0" w:after="0"/>
        <w:jc w:val="both"/>
        <w:rPr>
          <w:rFonts w:cs="Calibri"/>
          <w:color w:val="000000"/>
          <w:sz w:val="20"/>
          <w:szCs w:val="20"/>
        </w:rPr>
      </w:pPr>
      <w:r>
        <w:rPr>
          <w:rFonts w:cs="Calibri"/>
          <w:color w:val="000000"/>
          <w:sz w:val="20"/>
          <w:szCs w:val="20"/>
        </w:rPr>
      </w:r>
    </w:p>
    <w:p>
      <w:pPr>
        <w:pStyle w:val="Normal"/>
        <w:spacing w:lineRule="auto" w:line="240" w:before="0" w:after="0"/>
        <w:jc w:val="both"/>
        <w:rPr>
          <w:rFonts w:cs="Calibri"/>
          <w:b/>
          <w:color w:val="000000"/>
          <w:sz w:val="20"/>
          <w:szCs w:val="20"/>
        </w:rPr>
      </w:pPr>
      <w:r>
        <w:rPr>
          <w:rFonts w:cs="Calibri"/>
          <w:b/>
          <w:color w:val="000000"/>
          <w:sz w:val="20"/>
          <w:szCs w:val="20"/>
        </w:rPr>
      </w:r>
    </w:p>
    <w:p>
      <w:pPr>
        <w:pStyle w:val="Normal"/>
        <w:spacing w:lineRule="auto" w:line="240" w:before="0" w:after="0"/>
        <w:jc w:val="both"/>
        <w:rPr>
          <w:rFonts w:cs="Calibri"/>
          <w:b/>
          <w:color w:val="000000"/>
          <w:sz w:val="20"/>
          <w:szCs w:val="20"/>
        </w:rPr>
      </w:pPr>
      <w:r>
        <w:rPr>
          <w:rFonts w:cs="Calibri"/>
          <w:b/>
          <w:color w:val="000000"/>
          <w:sz w:val="20"/>
          <w:szCs w:val="20"/>
        </w:rPr>
      </w:r>
    </w:p>
    <w:p>
      <w:pPr>
        <w:pStyle w:val="Normal"/>
        <w:spacing w:lineRule="auto" w:line="240" w:before="0" w:after="0"/>
        <w:jc w:val="both"/>
        <w:rPr>
          <w:rFonts w:cs="Calibri"/>
          <w:b/>
          <w:color w:val="000000"/>
          <w:sz w:val="20"/>
          <w:szCs w:val="20"/>
        </w:rPr>
      </w:pPr>
      <w:r>
        <w:rPr>
          <w:rFonts w:cs="Calibri"/>
          <w:b/>
          <w:color w:val="000000"/>
          <w:sz w:val="20"/>
          <w:szCs w:val="20"/>
        </w:rPr>
      </w:r>
    </w:p>
    <w:p>
      <w:pPr>
        <w:pStyle w:val="Normal"/>
        <w:spacing w:lineRule="auto" w:line="240" w:before="0" w:after="0"/>
        <w:jc w:val="both"/>
        <w:rPr>
          <w:rFonts w:cs="Calibri"/>
          <w:b/>
          <w:color w:val="000000"/>
          <w:sz w:val="20"/>
          <w:szCs w:val="20"/>
        </w:rPr>
      </w:pPr>
      <w:r>
        <w:rPr>
          <w:rFonts w:cs="Calibri"/>
          <w:b/>
          <w:color w:val="000000"/>
          <w:sz w:val="20"/>
          <w:szCs w:val="20"/>
        </w:rPr>
      </w:r>
    </w:p>
    <w:p>
      <w:pPr>
        <w:pStyle w:val="Normal"/>
        <w:spacing w:lineRule="auto" w:line="240" w:before="0" w:after="0"/>
        <w:jc w:val="both"/>
        <w:rPr>
          <w:rFonts w:cs="Calibri"/>
          <w:b/>
          <w:color w:val="000000"/>
          <w:sz w:val="20"/>
          <w:szCs w:val="20"/>
        </w:rPr>
      </w:pPr>
      <w:r>
        <w:rPr>
          <w:rFonts w:cs="Calibri"/>
          <w:b/>
          <w:color w:val="000000"/>
          <w:sz w:val="20"/>
          <w:szCs w:val="20"/>
        </w:rPr>
      </w:r>
    </w:p>
    <w:p>
      <w:pPr>
        <w:pStyle w:val="Normal"/>
        <w:spacing w:lineRule="auto" w:line="240" w:before="0" w:after="0"/>
        <w:jc w:val="both"/>
        <w:rPr>
          <w:rFonts w:cs="Calibri"/>
          <w:b/>
          <w:color w:val="000000"/>
          <w:sz w:val="20"/>
          <w:szCs w:val="20"/>
        </w:rPr>
      </w:pPr>
      <w:r>
        <w:rPr>
          <w:rFonts w:cs="Calibri"/>
          <w:b/>
          <w:color w:val="000000"/>
          <w:sz w:val="20"/>
          <w:szCs w:val="20"/>
        </w:rPr>
      </w:r>
    </w:p>
    <w:p>
      <w:pPr>
        <w:pStyle w:val="Normal"/>
        <w:spacing w:lineRule="auto" w:line="240" w:before="0" w:after="0"/>
        <w:jc w:val="both"/>
        <w:rPr>
          <w:rFonts w:cs="Calibri"/>
          <w:b/>
          <w:color w:val="000000"/>
          <w:sz w:val="20"/>
          <w:szCs w:val="20"/>
        </w:rPr>
      </w:pPr>
      <w:r>
        <w:rPr>
          <w:rFonts w:cs="Calibri"/>
          <w:b/>
          <w:color w:val="000000"/>
          <w:sz w:val="20"/>
          <w:szCs w:val="20"/>
        </w:rPr>
      </w:r>
    </w:p>
    <w:p>
      <w:pPr>
        <w:pStyle w:val="Normal"/>
        <w:spacing w:lineRule="auto" w:line="240" w:before="0" w:after="0"/>
        <w:jc w:val="both"/>
        <w:rPr>
          <w:rFonts w:cs="Calibri"/>
          <w:b/>
          <w:color w:val="000000"/>
          <w:sz w:val="20"/>
          <w:szCs w:val="20"/>
        </w:rPr>
      </w:pPr>
      <w:r>
        <w:rPr>
          <w:rFonts w:cs="Calibri"/>
          <w:b/>
          <w:color w:val="000000"/>
          <w:sz w:val="20"/>
          <w:szCs w:val="20"/>
        </w:rPr>
      </w:r>
      <w:r>
        <w:br w:type="page"/>
      </w:r>
    </w:p>
    <w:p>
      <w:pPr>
        <w:pStyle w:val="Normal"/>
        <w:spacing w:before="0" w:after="200"/>
        <w:jc w:val="both"/>
        <w:rPr>
          <w:rFonts w:cs="Calibri"/>
          <w:b/>
          <w:color w:val="000000"/>
          <w:sz w:val="20"/>
          <w:szCs w:val="20"/>
        </w:rPr>
      </w:pPr>
      <w:r>
        <w:rPr>
          <w:rFonts w:cs="Calibri"/>
          <w:b/>
          <w:color w:val="000000"/>
          <w:sz w:val="20"/>
          <w:szCs w:val="20"/>
        </w:rPr>
        <w:t>1. WSTĘP</w:t>
      </w:r>
    </w:p>
    <w:p>
      <w:pPr>
        <w:pStyle w:val="Normal"/>
        <w:spacing w:lineRule="auto" w:line="240" w:before="0" w:after="0"/>
        <w:jc w:val="both"/>
        <w:rPr>
          <w:rFonts w:cs="Calibri"/>
          <w:color w:val="000000"/>
          <w:sz w:val="20"/>
          <w:szCs w:val="20"/>
        </w:rPr>
      </w:pPr>
      <w:r>
        <w:rPr>
          <w:rFonts w:cs="Calibri"/>
          <w:color w:val="000000"/>
          <w:sz w:val="20"/>
          <w:szCs w:val="20"/>
        </w:rPr>
      </w:r>
    </w:p>
    <w:p>
      <w:pPr>
        <w:pStyle w:val="Normal"/>
        <w:spacing w:lineRule="auto" w:line="240" w:before="0" w:after="0"/>
        <w:jc w:val="both"/>
        <w:rPr>
          <w:rFonts w:cs="Calibri"/>
          <w:color w:val="000000"/>
          <w:sz w:val="20"/>
          <w:szCs w:val="20"/>
        </w:rPr>
      </w:pPr>
      <w:r>
        <w:rPr>
          <w:rFonts w:cs="Calibri"/>
          <w:color w:val="000000"/>
          <w:sz w:val="20"/>
          <w:szCs w:val="20"/>
        </w:rPr>
        <w:t>1.1. Przedmiot STWiOR</w:t>
      </w:r>
    </w:p>
    <w:p>
      <w:pPr>
        <w:pStyle w:val="Normal"/>
        <w:spacing w:lineRule="auto" w:line="240" w:before="0" w:after="0"/>
        <w:ind w:left="360"/>
        <w:jc w:val="both"/>
        <w:rPr>
          <w:rFonts w:cs="Calibri"/>
          <w:sz w:val="20"/>
          <w:szCs w:val="20"/>
        </w:rPr>
      </w:pPr>
      <w:r>
        <w:rPr>
          <w:rFonts w:cs="Calibri"/>
          <w:sz w:val="20"/>
          <w:szCs w:val="20"/>
        </w:rPr>
        <w:t xml:space="preserve">Przedmiotem niniejszej specyfikacji technicznej (STWIOR ) są wymagania ogólne dotyczące wykonania </w:t>
        <w:br/>
        <w:t>i odbioru robót związanych z wykonaniem warstwy ścieralnej przy wykonaniu przy zadaniu pn.: „Przebudowa chodnika w Gruszowie Wielkim w kierunku Nieczajny Dolnej”.</w:t>
      </w:r>
    </w:p>
    <w:p>
      <w:pPr>
        <w:pStyle w:val="Normal"/>
        <w:tabs>
          <w:tab w:val="clear" w:pos="708"/>
          <w:tab w:val="left" w:pos="8581" w:leader="none"/>
        </w:tabs>
        <w:spacing w:lineRule="auto" w:line="240" w:before="0" w:after="0"/>
        <w:ind w:left="364"/>
        <w:jc w:val="both"/>
        <w:rPr>
          <w:rFonts w:cs="Calibri"/>
          <w:sz w:val="20"/>
          <w:szCs w:val="20"/>
        </w:rPr>
      </w:pPr>
      <w:r>
        <w:rPr>
          <w:rFonts w:cs="Calibri"/>
          <w:sz w:val="20"/>
          <w:szCs w:val="20"/>
        </w:rPr>
        <w:tab/>
      </w:r>
    </w:p>
    <w:p>
      <w:pPr>
        <w:pStyle w:val="Normal"/>
        <w:spacing w:lineRule="auto" w:line="240" w:before="0" w:after="0"/>
        <w:jc w:val="both"/>
        <w:rPr>
          <w:rFonts w:cs="Calibri"/>
          <w:sz w:val="20"/>
          <w:szCs w:val="20"/>
        </w:rPr>
      </w:pPr>
      <w:r>
        <w:rPr>
          <w:rFonts w:cs="Calibri"/>
          <w:sz w:val="20"/>
          <w:szCs w:val="20"/>
        </w:rPr>
        <w:t>1.2. Zakres stosowania STWIOR</w:t>
      </w:r>
    </w:p>
    <w:p>
      <w:pPr>
        <w:pStyle w:val="Normal"/>
        <w:spacing w:lineRule="auto" w:line="240" w:before="0" w:after="0"/>
        <w:ind w:left="364"/>
        <w:jc w:val="both"/>
        <w:rPr>
          <w:rFonts w:cs="Calibri"/>
          <w:sz w:val="20"/>
          <w:szCs w:val="20"/>
        </w:rPr>
      </w:pPr>
      <w:r>
        <w:rPr>
          <w:rFonts w:cs="Calibri"/>
          <w:sz w:val="20"/>
          <w:szCs w:val="20"/>
        </w:rPr>
        <w:t>STWIORB jest stosowana jako dokument przetargowy i kontraktowy przy zlecaniu i realizacji robót wymienionych w p 1.</w:t>
      </w:r>
    </w:p>
    <w:p>
      <w:pPr>
        <w:pStyle w:val="Normal"/>
        <w:spacing w:lineRule="auto" w:line="240" w:before="0" w:after="0"/>
        <w:ind w:left="364"/>
        <w:jc w:val="both"/>
        <w:rPr>
          <w:rFonts w:cs="Calibri"/>
          <w:sz w:val="20"/>
          <w:szCs w:val="20"/>
        </w:rPr>
      </w:pPr>
      <w:r>
        <w:rPr>
          <w:rFonts w:cs="Calibri"/>
          <w:sz w:val="20"/>
          <w:szCs w:val="20"/>
        </w:rPr>
      </w:r>
      <w:bookmarkStart w:id="0" w:name="_GoBack"/>
      <w:bookmarkStart w:id="1" w:name="_GoBack"/>
      <w:bookmarkEnd w:id="1"/>
    </w:p>
    <w:p>
      <w:pPr>
        <w:pStyle w:val="Normal"/>
        <w:spacing w:lineRule="auto" w:line="240" w:before="0" w:after="0"/>
        <w:jc w:val="both"/>
        <w:rPr>
          <w:rFonts w:cs="Calibri"/>
          <w:sz w:val="20"/>
          <w:szCs w:val="20"/>
        </w:rPr>
      </w:pPr>
      <w:r>
        <w:rPr>
          <w:rFonts w:cs="Calibri"/>
          <w:sz w:val="20"/>
          <w:szCs w:val="20"/>
        </w:rPr>
        <w:t>1.3. Zakres robót objętych STWIORB</w:t>
      </w:r>
    </w:p>
    <w:p>
      <w:pPr>
        <w:pStyle w:val="Normal"/>
        <w:spacing w:lineRule="auto" w:line="240" w:before="0" w:after="0"/>
        <w:ind w:left="364"/>
        <w:jc w:val="both"/>
        <w:rPr>
          <w:rFonts w:cs="Calibri"/>
          <w:sz w:val="20"/>
          <w:szCs w:val="20"/>
        </w:rPr>
      </w:pPr>
      <w:r>
        <w:rPr>
          <w:rFonts w:cs="Calibri"/>
          <w:sz w:val="20"/>
          <w:szCs w:val="20"/>
        </w:rPr>
        <w:t xml:space="preserve">Ustalenia zawarte w niniejszej specyfikacji dotyczą zasad prowadzenia robót związanych z wykonaniem </w:t>
        <w:br/>
        <w:t>i odbiorem warstwy ścieralnej z betonu asfaltowego wg PN-EN 13108-1 [47] i WT-2 Nawierzchnie asfaltowe 2010 [65] z mieszanki mineralno-asfaltowej dostarczonej od producenta. W przypadku produkcji mieszanki mineralno-asfaltowej przez Wykonawcę dla potrzeb budowy, Wykonawca zobowiązany jest prowadzić Zakładową kontrolę produkcji (ZKP) Przewiduje się wykonanie warstwy ścieralnej z mieszanki AC 11S oraz AC8S o wg PT.</w:t>
      </w:r>
    </w:p>
    <w:p>
      <w:pPr>
        <w:pStyle w:val="Normal"/>
        <w:spacing w:lineRule="auto" w:line="240" w:before="0" w:after="0"/>
        <w:ind w:left="364"/>
        <w:jc w:val="both"/>
        <w:rPr>
          <w:rFonts w:cs="Calibri"/>
          <w:sz w:val="20"/>
          <w:szCs w:val="20"/>
        </w:rPr>
      </w:pPr>
      <w:r>
        <w:rPr>
          <w:rFonts w:cs="Calibri"/>
          <w:sz w:val="20"/>
          <w:szCs w:val="20"/>
        </w:rPr>
      </w:r>
    </w:p>
    <w:p>
      <w:pPr>
        <w:pStyle w:val="Normal"/>
        <w:spacing w:lineRule="auto" w:line="240" w:before="0" w:after="0"/>
        <w:jc w:val="both"/>
        <w:rPr>
          <w:rFonts w:cs="Calibri"/>
          <w:sz w:val="20"/>
          <w:szCs w:val="20"/>
        </w:rPr>
      </w:pPr>
      <w:r>
        <w:rPr>
          <w:rFonts w:cs="Calibri"/>
          <w:sz w:val="20"/>
          <w:szCs w:val="20"/>
        </w:rPr>
        <w:t>1.4. Określenia podstawowe</w:t>
      </w:r>
    </w:p>
    <w:p>
      <w:pPr>
        <w:pStyle w:val="Normal"/>
        <w:spacing w:lineRule="auto" w:line="240" w:before="0" w:after="0"/>
        <w:ind w:hanging="516" w:left="851"/>
        <w:jc w:val="both"/>
        <w:rPr>
          <w:rFonts w:cs="Calibri"/>
          <w:sz w:val="20"/>
          <w:szCs w:val="20"/>
        </w:rPr>
      </w:pPr>
      <w:r>
        <w:rPr>
          <w:rFonts w:cs="Calibri"/>
          <w:sz w:val="20"/>
          <w:szCs w:val="20"/>
        </w:rPr>
        <w:t>1.4.1. Nawierzchnia – konstrukcja składająca się z jednej lub kilku warstw służących do przejmowania i rozkładania obciążeń od ruchu pojazdów na podłoże.</w:t>
      </w:r>
    </w:p>
    <w:p>
      <w:pPr>
        <w:pStyle w:val="Normal"/>
        <w:spacing w:lineRule="auto" w:line="240" w:before="0" w:after="0"/>
        <w:ind w:hanging="516" w:left="851"/>
        <w:jc w:val="both"/>
        <w:rPr>
          <w:rFonts w:cs="Calibri"/>
          <w:sz w:val="20"/>
          <w:szCs w:val="20"/>
        </w:rPr>
      </w:pPr>
      <w:r>
        <w:rPr>
          <w:rFonts w:cs="Calibri"/>
          <w:sz w:val="20"/>
          <w:szCs w:val="20"/>
        </w:rPr>
        <w:t>1.4.2. Warstwa ścieralna – górna warstwa nawierzchni będąca w bezpośrednim kontakcie z kołami pojazdów.</w:t>
      </w:r>
    </w:p>
    <w:p>
      <w:pPr>
        <w:pStyle w:val="Normal"/>
        <w:spacing w:lineRule="auto" w:line="240" w:before="0" w:after="0"/>
        <w:ind w:hanging="516" w:left="851"/>
        <w:jc w:val="both"/>
        <w:rPr>
          <w:rFonts w:cs="Calibri"/>
          <w:sz w:val="20"/>
          <w:szCs w:val="20"/>
        </w:rPr>
      </w:pPr>
      <w:r>
        <w:rPr>
          <w:rFonts w:cs="Calibri"/>
          <w:sz w:val="20"/>
          <w:szCs w:val="20"/>
        </w:rPr>
        <w:t>1.4.3. Mieszanka mineralno-asfaltowa – mieszanka kruszyw i lepiszcza asfaltowego.</w:t>
      </w:r>
    </w:p>
    <w:p>
      <w:pPr>
        <w:pStyle w:val="Normal"/>
        <w:spacing w:lineRule="auto" w:line="240" w:before="0" w:after="0"/>
        <w:ind w:hanging="516" w:left="851"/>
        <w:jc w:val="both"/>
        <w:rPr>
          <w:rFonts w:cs="Calibri"/>
          <w:sz w:val="20"/>
          <w:szCs w:val="20"/>
        </w:rPr>
      </w:pPr>
      <w:r>
        <w:rPr>
          <w:rFonts w:cs="Calibri"/>
          <w:sz w:val="20"/>
          <w:szCs w:val="20"/>
        </w:rPr>
        <w:t>1.4.4. Wymiar mieszanki mineralno-asfaltowej – określenie mieszanki mineralno-asfaltowej, ze względu na największy wymiar kruszywa D, np. wymiar 5, 8, 11.</w:t>
      </w:r>
    </w:p>
    <w:p>
      <w:pPr>
        <w:pStyle w:val="Normal"/>
        <w:spacing w:lineRule="auto" w:line="240" w:before="0" w:after="0"/>
        <w:ind w:hanging="516" w:left="851"/>
        <w:jc w:val="both"/>
        <w:rPr>
          <w:rFonts w:cs="Calibri"/>
          <w:sz w:val="20"/>
          <w:szCs w:val="20"/>
        </w:rPr>
      </w:pPr>
      <w:r>
        <w:rPr>
          <w:rFonts w:cs="Calibri"/>
          <w:sz w:val="20"/>
          <w:szCs w:val="20"/>
        </w:rPr>
        <w:t>1.4.5. Beton asfaltowy – mieszanka mineralno-asfaltowa, w której kruszywo o uziarnieniu ciągłym lub nieciągłym tworzy strukturę wzajemnie klinującą się.</w:t>
      </w:r>
    </w:p>
    <w:p>
      <w:pPr>
        <w:pStyle w:val="Normal"/>
        <w:spacing w:lineRule="auto" w:line="240" w:before="0" w:after="0"/>
        <w:ind w:hanging="516" w:left="851"/>
        <w:jc w:val="both"/>
        <w:rPr>
          <w:rFonts w:cs="Calibri"/>
          <w:sz w:val="20"/>
          <w:szCs w:val="20"/>
        </w:rPr>
      </w:pPr>
      <w:r>
        <w:rPr>
          <w:rFonts w:cs="Calibri"/>
          <w:sz w:val="20"/>
          <w:szCs w:val="20"/>
        </w:rPr>
        <w:t>1.4.6. Uziarnienie – skład ziarnowy kruszywa, wyrażony w procentach masy ziaren przechodzących przez określony zestaw sit.</w:t>
      </w:r>
    </w:p>
    <w:p>
      <w:pPr>
        <w:pStyle w:val="Normal"/>
        <w:spacing w:lineRule="auto" w:line="240" w:before="0" w:after="0"/>
        <w:ind w:hanging="516" w:left="851"/>
        <w:jc w:val="both"/>
        <w:rPr>
          <w:rFonts w:cs="Calibri"/>
          <w:sz w:val="20"/>
          <w:szCs w:val="20"/>
        </w:rPr>
      </w:pPr>
      <w:r>
        <w:rPr>
          <w:rFonts w:cs="Calibri"/>
          <w:sz w:val="20"/>
          <w:szCs w:val="20"/>
        </w:rPr>
        <w:t>1.4.7. Kategoria ruchu – obciążenie drogi ruchem samochodowym, wyrażone w osiach obliczeniowych (100 kN) wg „Katalogu typowych konstrukcji nawierzchni podatnych i półsztywnych” GDDP-IBDiM [68].</w:t>
      </w:r>
    </w:p>
    <w:p>
      <w:pPr>
        <w:pStyle w:val="Normal"/>
        <w:spacing w:lineRule="auto" w:line="240" w:before="0" w:after="0"/>
        <w:ind w:hanging="516" w:left="851"/>
        <w:jc w:val="both"/>
        <w:rPr>
          <w:rFonts w:cs="Calibri"/>
          <w:sz w:val="20"/>
          <w:szCs w:val="20"/>
        </w:rPr>
      </w:pPr>
      <w:r>
        <w:rPr>
          <w:rFonts w:cs="Calibri"/>
          <w:sz w:val="20"/>
          <w:szCs w:val="20"/>
        </w:rPr>
        <w:t>1.4.8. Wymiar kruszywa – wielkość ziaren kruszywa, określona przez dolny (d) i górny (D) wymiar sita.</w:t>
      </w:r>
    </w:p>
    <w:p>
      <w:pPr>
        <w:pStyle w:val="Normal"/>
        <w:spacing w:lineRule="auto" w:line="240" w:before="0" w:after="0"/>
        <w:ind w:hanging="516" w:left="851"/>
        <w:jc w:val="both"/>
        <w:rPr>
          <w:rFonts w:cs="Calibri"/>
          <w:sz w:val="20"/>
          <w:szCs w:val="20"/>
        </w:rPr>
      </w:pPr>
      <w:r>
        <w:rPr>
          <w:rFonts w:cs="Calibri"/>
          <w:sz w:val="20"/>
          <w:szCs w:val="20"/>
        </w:rPr>
        <w:t>1.4.9. Kruszywo grube – kruszywo z ziaren o wymiarze: D ≤ 45 mm oraz d &gt; 2 mm.</w:t>
      </w:r>
    </w:p>
    <w:p>
      <w:pPr>
        <w:pStyle w:val="Normal"/>
        <w:spacing w:lineRule="auto" w:line="240" w:before="0" w:after="0"/>
        <w:ind w:hanging="516" w:left="851"/>
        <w:jc w:val="both"/>
        <w:rPr>
          <w:rFonts w:cs="Calibri"/>
          <w:sz w:val="20"/>
          <w:szCs w:val="20"/>
        </w:rPr>
      </w:pPr>
      <w:r>
        <w:rPr>
          <w:rFonts w:cs="Calibri"/>
          <w:sz w:val="20"/>
          <w:szCs w:val="20"/>
        </w:rPr>
        <w:t>1.4.10. Kruszywo drobne – kruszywo z ziaren o wymiarze: D ≤ 2 mm, którego większa część pozostaje na sicie 0,063 mm.</w:t>
      </w:r>
    </w:p>
    <w:p>
      <w:pPr>
        <w:pStyle w:val="Normal"/>
        <w:spacing w:lineRule="auto" w:line="240" w:before="0" w:after="0"/>
        <w:ind w:hanging="516" w:left="851"/>
        <w:jc w:val="both"/>
        <w:rPr>
          <w:rFonts w:cs="Calibri"/>
          <w:sz w:val="20"/>
          <w:szCs w:val="20"/>
        </w:rPr>
      </w:pPr>
      <w:r>
        <w:rPr>
          <w:rFonts w:cs="Calibri"/>
          <w:sz w:val="20"/>
          <w:szCs w:val="20"/>
        </w:rPr>
        <w:t>1.4.11. Pył – kruszywo z ziaren przechodzących przez sito 0,063 mm.</w:t>
      </w:r>
    </w:p>
    <w:p>
      <w:pPr>
        <w:pStyle w:val="Normal"/>
        <w:spacing w:lineRule="auto" w:line="240" w:before="0" w:after="0"/>
        <w:ind w:hanging="516" w:left="851"/>
        <w:jc w:val="both"/>
        <w:rPr>
          <w:rFonts w:cs="Calibri"/>
          <w:sz w:val="20"/>
          <w:szCs w:val="20"/>
        </w:rPr>
      </w:pPr>
      <w:r>
        <w:rPr>
          <w:rFonts w:cs="Calibri"/>
          <w:sz w:val="20"/>
          <w:szCs w:val="20"/>
        </w:rPr>
        <w:t>1.4.12. Wypełniacz – kruszywo, którego większa część przechodzi przez sito 0,063 mm. (Wypełniacz mieszany – kruszywo, które składa się z wypełniacza pochodzenia mineralnego i wodorotlenku wapnia. Wypełniacz dodany – wypełniacz pochodzenia mineralnego, wyprodukowany oddzielnie).</w:t>
      </w:r>
    </w:p>
    <w:p>
      <w:pPr>
        <w:pStyle w:val="Normal"/>
        <w:spacing w:lineRule="auto" w:line="240" w:before="0" w:after="0"/>
        <w:ind w:hanging="516" w:left="851"/>
        <w:jc w:val="both"/>
        <w:rPr>
          <w:rFonts w:cs="Calibri"/>
          <w:sz w:val="20"/>
          <w:szCs w:val="20"/>
        </w:rPr>
      </w:pPr>
      <w:r>
        <w:rPr>
          <w:rFonts w:cs="Calibri"/>
          <w:sz w:val="20"/>
          <w:szCs w:val="20"/>
        </w:rPr>
        <w:t>1.4.13. Kationowa emulsja asfaltowa – emulsja, w której emulgator nadaje dodatnie ładunki cząstkom zdyspergowanego asfaltu.</w:t>
      </w:r>
    </w:p>
    <w:p>
      <w:pPr>
        <w:pStyle w:val="Normal"/>
        <w:spacing w:lineRule="auto" w:line="240" w:before="0" w:after="0"/>
        <w:ind w:hanging="516" w:left="851"/>
        <w:jc w:val="both"/>
        <w:rPr>
          <w:rFonts w:cs="Calibri"/>
          <w:sz w:val="20"/>
          <w:szCs w:val="20"/>
        </w:rPr>
      </w:pPr>
      <w:r>
        <w:rPr>
          <w:rFonts w:cs="Calibri"/>
          <w:sz w:val="20"/>
          <w:szCs w:val="20"/>
        </w:rPr>
        <w:t xml:space="preserve">1.4.14. Pozostałe określenia podstawowe są zgodne z obowiązującymi, odpowiednimi polskimi normami </w:t>
        <w:br/>
        <w:t>i z definicjami podanymi w STWIORB D-M-00.00.00 „Wymagania ogólne” pkt 1.4.</w:t>
      </w:r>
    </w:p>
    <w:p>
      <w:pPr>
        <w:pStyle w:val="Normal"/>
        <w:spacing w:lineRule="auto" w:line="240" w:before="0" w:after="0"/>
        <w:ind w:hanging="516" w:left="851"/>
        <w:jc w:val="both"/>
        <w:rPr>
          <w:rFonts w:cs="Calibri"/>
          <w:sz w:val="20"/>
          <w:szCs w:val="20"/>
        </w:rPr>
      </w:pPr>
      <w:r>
        <w:rPr>
          <w:rFonts w:cs="Calibri"/>
          <w:sz w:val="20"/>
          <w:szCs w:val="20"/>
        </w:rPr>
        <w:t>1.4.15. Symbole i skróty dodatkowe</w:t>
      </w:r>
    </w:p>
    <w:p>
      <w:pPr>
        <w:pStyle w:val="Normal"/>
        <w:spacing w:lineRule="auto" w:line="240" w:before="0" w:after="0"/>
        <w:ind w:hanging="516" w:left="1418"/>
        <w:jc w:val="both"/>
        <w:rPr>
          <w:rFonts w:cs="Calibri"/>
          <w:sz w:val="20"/>
          <w:szCs w:val="20"/>
        </w:rPr>
      </w:pPr>
      <w:r>
        <w:rPr>
          <w:rFonts w:cs="Calibri"/>
          <w:sz w:val="20"/>
          <w:szCs w:val="20"/>
        </w:rPr>
        <w:t xml:space="preserve">ACS </w:t>
        <w:tab/>
        <w:t>– beton asfaltowy do warstwy ścieralnej</w:t>
      </w:r>
    </w:p>
    <w:p>
      <w:pPr>
        <w:pStyle w:val="Normal"/>
        <w:spacing w:lineRule="auto" w:line="240" w:before="0" w:after="0"/>
        <w:ind w:hanging="516" w:left="1418"/>
        <w:jc w:val="both"/>
        <w:rPr>
          <w:rFonts w:cs="Calibri"/>
          <w:sz w:val="20"/>
          <w:szCs w:val="20"/>
        </w:rPr>
      </w:pPr>
      <w:r>
        <w:rPr>
          <w:rFonts w:cs="Calibri"/>
          <w:sz w:val="20"/>
          <w:szCs w:val="20"/>
        </w:rPr>
        <w:t xml:space="preserve">D </w:t>
        <w:tab/>
        <w:t>– górny wymiar sita (przy określaniu wielkości ziaren kruszywa),</w:t>
      </w:r>
    </w:p>
    <w:p>
      <w:pPr>
        <w:pStyle w:val="Normal"/>
        <w:spacing w:lineRule="auto" w:line="240" w:before="0" w:after="0"/>
        <w:ind w:hanging="516" w:left="1418"/>
        <w:jc w:val="both"/>
        <w:rPr>
          <w:rFonts w:cs="Calibri"/>
          <w:sz w:val="20"/>
          <w:szCs w:val="20"/>
        </w:rPr>
      </w:pPr>
      <w:r>
        <w:rPr>
          <w:rFonts w:cs="Calibri"/>
          <w:sz w:val="20"/>
          <w:szCs w:val="20"/>
        </w:rPr>
        <w:t xml:space="preserve">d </w:t>
        <w:tab/>
        <w:t>– dolny wymiar sita (przy określaniu wielkości ziaren kruszywa),</w:t>
      </w:r>
    </w:p>
    <w:p>
      <w:pPr>
        <w:pStyle w:val="Normal"/>
        <w:spacing w:lineRule="auto" w:line="240" w:before="0" w:after="0"/>
        <w:ind w:hanging="516" w:left="1418"/>
        <w:jc w:val="both"/>
        <w:rPr>
          <w:rFonts w:cs="Calibri"/>
          <w:sz w:val="20"/>
          <w:szCs w:val="20"/>
        </w:rPr>
      </w:pPr>
      <w:r>
        <w:rPr>
          <w:rFonts w:cs="Calibri"/>
          <w:sz w:val="20"/>
          <w:szCs w:val="20"/>
        </w:rPr>
        <w:t xml:space="preserve">C </w:t>
        <w:tab/>
        <w:t>– kationowa emulsja asfaltowa,</w:t>
      </w:r>
    </w:p>
    <w:p>
      <w:pPr>
        <w:pStyle w:val="Normal"/>
        <w:spacing w:lineRule="auto" w:line="240" w:before="0" w:after="0"/>
        <w:ind w:hanging="516" w:left="1418"/>
        <w:jc w:val="both"/>
        <w:rPr>
          <w:rFonts w:cs="Calibri"/>
          <w:sz w:val="20"/>
          <w:szCs w:val="20"/>
        </w:rPr>
      </w:pPr>
      <w:r>
        <w:rPr>
          <w:rFonts w:cs="Calibri"/>
          <w:sz w:val="20"/>
          <w:szCs w:val="20"/>
        </w:rPr>
      </w:r>
    </w:p>
    <w:p>
      <w:pPr>
        <w:pStyle w:val="Normal"/>
        <w:spacing w:lineRule="auto" w:line="240" w:before="0" w:after="0"/>
        <w:jc w:val="both"/>
        <w:rPr>
          <w:rFonts w:cs="Calibri"/>
          <w:sz w:val="20"/>
          <w:szCs w:val="20"/>
        </w:rPr>
      </w:pPr>
      <w:r>
        <w:rPr>
          <w:rFonts w:cs="Calibri"/>
          <w:sz w:val="20"/>
          <w:szCs w:val="20"/>
        </w:rPr>
        <w:t>1.5. Ogólne wymagania dotyczące robót</w:t>
      </w:r>
    </w:p>
    <w:p>
      <w:pPr>
        <w:pStyle w:val="Normal"/>
        <w:spacing w:lineRule="auto" w:line="240" w:before="0" w:after="0"/>
        <w:ind w:left="364"/>
        <w:jc w:val="both"/>
        <w:rPr>
          <w:rFonts w:cs="Calibri"/>
          <w:sz w:val="20"/>
          <w:szCs w:val="20"/>
        </w:rPr>
      </w:pPr>
      <w:r>
        <w:rPr>
          <w:rFonts w:cs="Calibri"/>
          <w:sz w:val="20"/>
          <w:szCs w:val="20"/>
        </w:rPr>
        <w:t>Ogólne wymagania dotyczące robót podano w STWIORB D-M-00.00.00 „Wymagania ogólne” [1] pkt 1.5.</w:t>
      </w:r>
    </w:p>
    <w:p>
      <w:pPr>
        <w:pStyle w:val="Normal"/>
        <w:spacing w:lineRule="auto" w:line="240" w:before="0" w:after="0"/>
        <w:ind w:left="364"/>
        <w:jc w:val="both"/>
        <w:rPr>
          <w:rFonts w:cs="Calibri"/>
          <w:sz w:val="20"/>
          <w:szCs w:val="20"/>
        </w:rPr>
      </w:pPr>
      <w:r>
        <w:rPr>
          <w:rFonts w:cs="Calibri"/>
          <w:sz w:val="20"/>
          <w:szCs w:val="20"/>
        </w:rPr>
      </w:r>
    </w:p>
    <w:p>
      <w:pPr>
        <w:pStyle w:val="Normal"/>
        <w:spacing w:lineRule="auto" w:line="240" w:before="0" w:after="0"/>
        <w:jc w:val="both"/>
        <w:rPr>
          <w:rFonts w:cs="Calibri"/>
          <w:b/>
          <w:sz w:val="20"/>
          <w:szCs w:val="20"/>
        </w:rPr>
      </w:pPr>
      <w:r>
        <w:rPr>
          <w:rFonts w:cs="Calibri"/>
          <w:b/>
          <w:sz w:val="20"/>
          <w:szCs w:val="20"/>
        </w:rPr>
        <w:t>2. MATERIAŁY</w:t>
      </w:r>
    </w:p>
    <w:p>
      <w:pPr>
        <w:pStyle w:val="Normal"/>
        <w:spacing w:lineRule="auto" w:line="240" w:before="0" w:after="0"/>
        <w:jc w:val="both"/>
        <w:rPr>
          <w:rFonts w:cs="Calibri"/>
          <w:sz w:val="20"/>
          <w:szCs w:val="20"/>
        </w:rPr>
      </w:pPr>
      <w:r>
        <w:rPr>
          <w:rFonts w:cs="Calibri"/>
          <w:sz w:val="20"/>
          <w:szCs w:val="20"/>
        </w:rPr>
        <w:t>2.1. Ogólne wymagania dotyczące materiałów</w:t>
      </w:r>
    </w:p>
    <w:p>
      <w:pPr>
        <w:pStyle w:val="Normal"/>
        <w:spacing w:lineRule="auto" w:line="240" w:before="0" w:after="0"/>
        <w:ind w:left="364"/>
        <w:jc w:val="both"/>
        <w:rPr>
          <w:rFonts w:cs="Calibri"/>
          <w:sz w:val="20"/>
          <w:szCs w:val="20"/>
        </w:rPr>
      </w:pPr>
      <w:r>
        <w:rPr>
          <w:rFonts w:cs="Calibri"/>
          <w:sz w:val="20"/>
          <w:szCs w:val="20"/>
        </w:rPr>
        <w:t>Ogólne wymagania dotyczące materiałów, ich pozyskiwania i składowania, podano w STWIORB D-M-00.00.00 „Wymagania ogólne” [1] pkt 2.</w:t>
      </w:r>
    </w:p>
    <w:p>
      <w:pPr>
        <w:pStyle w:val="Normal"/>
        <w:spacing w:lineRule="auto" w:line="240" w:before="0" w:after="0"/>
        <w:ind w:left="364"/>
        <w:jc w:val="both"/>
        <w:rPr>
          <w:rFonts w:cs="Calibri"/>
          <w:sz w:val="20"/>
          <w:szCs w:val="20"/>
        </w:rPr>
      </w:pPr>
      <w:r>
        <w:rPr>
          <w:rFonts w:cs="Calibri"/>
          <w:sz w:val="20"/>
          <w:szCs w:val="20"/>
        </w:rPr>
      </w:r>
      <w:r>
        <w:br w:type="page"/>
      </w:r>
    </w:p>
    <w:p>
      <w:pPr>
        <w:pStyle w:val="Normal"/>
        <w:spacing w:before="0" w:after="200"/>
        <w:rPr>
          <w:rFonts w:cs="Calibri"/>
          <w:sz w:val="20"/>
          <w:szCs w:val="20"/>
        </w:rPr>
      </w:pPr>
      <w:r>
        <w:rPr>
          <w:rFonts w:cs="Calibri"/>
          <w:sz w:val="20"/>
          <w:szCs w:val="20"/>
        </w:rPr>
        <w:t>2.2. Lepiszcza asfaltowe</w:t>
      </w:r>
    </w:p>
    <w:p>
      <w:pPr>
        <w:pStyle w:val="Normal"/>
        <w:spacing w:lineRule="auto" w:line="240" w:before="0" w:after="0"/>
        <w:ind w:left="364"/>
        <w:jc w:val="both"/>
        <w:rPr>
          <w:rFonts w:cs="Calibri"/>
          <w:sz w:val="20"/>
          <w:szCs w:val="20"/>
        </w:rPr>
      </w:pPr>
      <w:r>
        <w:rPr>
          <w:rFonts w:cs="Calibri"/>
          <w:sz w:val="20"/>
          <w:szCs w:val="20"/>
        </w:rPr>
        <w:t>Należy stosować asfalty drogowe wg PN-EN 12591 [27] wielorodzajowy 50/70 Asfalty drogowe</w:t>
      </w:r>
    </w:p>
    <w:p>
      <w:pPr>
        <w:pStyle w:val="Normal"/>
        <w:spacing w:lineRule="auto" w:line="240" w:before="0" w:after="0"/>
        <w:ind w:left="364"/>
        <w:jc w:val="both"/>
        <w:rPr>
          <w:rFonts w:cs="Calibri"/>
          <w:sz w:val="20"/>
          <w:szCs w:val="20"/>
        </w:rPr>
      </w:pPr>
      <w:r>
        <w:rPr>
          <w:rFonts w:cs="Calibri"/>
          <w:sz w:val="20"/>
          <w:szCs w:val="20"/>
        </w:rPr>
        <w:t>powinny spełniać wymagania podane w tablicy 3.</w:t>
      </w:r>
    </w:p>
    <w:p>
      <w:pPr>
        <w:pStyle w:val="Normal"/>
        <w:spacing w:lineRule="auto" w:line="240" w:before="0" w:after="0"/>
        <w:ind w:left="364"/>
        <w:jc w:val="both"/>
        <w:rPr>
          <w:rFonts w:cs="Calibri"/>
          <w:sz w:val="20"/>
          <w:szCs w:val="20"/>
        </w:rPr>
      </w:pPr>
      <w:r>
        <w:rPr>
          <w:rFonts w:cs="Calibri"/>
          <w:sz w:val="20"/>
          <w:szCs w:val="20"/>
        </w:rPr>
      </w:r>
    </w:p>
    <w:p>
      <w:pPr>
        <w:pStyle w:val="Normal"/>
        <w:spacing w:lineRule="auto" w:line="240" w:before="0" w:after="0"/>
        <w:ind w:left="364"/>
        <w:jc w:val="both"/>
        <w:rPr>
          <w:rFonts w:cs="Calibri"/>
          <w:i/>
          <w:i/>
          <w:sz w:val="18"/>
          <w:szCs w:val="20"/>
        </w:rPr>
      </w:pPr>
      <w:r>
        <w:rPr>
          <w:rFonts w:cs="Calibri"/>
          <w:i/>
          <w:sz w:val="18"/>
          <w:szCs w:val="20"/>
        </w:rPr>
        <w:t>Tablica 3. Wymagania wobec asfaltów drogowych wg PN-EN 12591 [27]</w:t>
      </w:r>
    </w:p>
    <w:p>
      <w:pPr>
        <w:pStyle w:val="Normal"/>
        <w:spacing w:lineRule="auto" w:line="240" w:before="0" w:after="0"/>
        <w:ind w:left="364"/>
        <w:jc w:val="both"/>
        <w:rPr>
          <w:rFonts w:cs="Calibri"/>
          <w:sz w:val="20"/>
          <w:szCs w:val="20"/>
        </w:rPr>
      </w:pPr>
      <w:r>
        <w:rPr>
          <w:rFonts w:cs="Calibri"/>
          <w:sz w:val="20"/>
          <w:szCs w:val="20"/>
        </w:rPr>
      </w:r>
    </w:p>
    <w:p>
      <w:pPr>
        <w:pStyle w:val="Normal"/>
        <w:spacing w:lineRule="auto" w:line="240" w:before="0" w:after="0"/>
        <w:ind w:left="364"/>
        <w:jc w:val="center"/>
        <w:rPr>
          <w:rFonts w:cs="Calibri"/>
          <w:sz w:val="20"/>
          <w:szCs w:val="20"/>
        </w:rPr>
      </w:pPr>
      <w:r>
        <w:rPr/>
        <w:drawing>
          <wp:inline distT="0" distB="0" distL="0" distR="0">
            <wp:extent cx="5476875" cy="3476625"/>
            <wp:effectExtent l="0" t="0" r="0" b="0"/>
            <wp:docPr id="1" name="Obraz1"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Obraz1" descr=""/>
                    <pic:cNvPicPr>
                      <a:picLocks noChangeAspect="1" noChangeArrowheads="1"/>
                    </pic:cNvPicPr>
                  </pic:nvPicPr>
                  <pic:blipFill>
                    <a:blip r:embed="rId2"/>
                    <a:stretch>
                      <a:fillRect/>
                    </a:stretch>
                  </pic:blipFill>
                  <pic:spPr bwMode="auto">
                    <a:xfrm>
                      <a:off x="0" y="0"/>
                      <a:ext cx="5476875" cy="3476625"/>
                    </a:xfrm>
                    <a:prstGeom prst="rect">
                      <a:avLst/>
                    </a:prstGeom>
                  </pic:spPr>
                </pic:pic>
              </a:graphicData>
            </a:graphic>
          </wp:inline>
        </w:drawing>
      </w:r>
    </w:p>
    <w:p>
      <w:pPr>
        <w:pStyle w:val="Normal"/>
        <w:spacing w:lineRule="auto" w:line="240" w:before="0" w:after="0"/>
        <w:ind w:left="364"/>
        <w:jc w:val="both"/>
        <w:rPr>
          <w:rFonts w:cs="Calibri"/>
          <w:sz w:val="20"/>
          <w:szCs w:val="20"/>
        </w:rPr>
      </w:pPr>
      <w:r>
        <w:rPr>
          <w:rFonts w:cs="Calibri"/>
          <w:sz w:val="20"/>
          <w:szCs w:val="20"/>
        </w:rPr>
      </w:r>
    </w:p>
    <w:p>
      <w:pPr>
        <w:pStyle w:val="Normal"/>
        <w:spacing w:lineRule="auto" w:line="240" w:before="0" w:after="0"/>
        <w:ind w:firstLine="344" w:left="364"/>
        <w:jc w:val="both"/>
        <w:rPr>
          <w:rFonts w:cs="Calibri"/>
          <w:sz w:val="20"/>
          <w:szCs w:val="20"/>
        </w:rPr>
      </w:pPr>
      <w:r>
        <w:rPr>
          <w:rFonts w:cs="Calibri"/>
          <w:sz w:val="20"/>
          <w:szCs w:val="20"/>
        </w:rPr>
        <w:t>Składowanie asfaltu drogowego powinno się odbywać w zbiornikach, wykluczających zanieczyszczenie asfaltu i wyposażonych w system grzewczy pośredni (bez kontaktu asfaltu z przewodami grzewczymi). Zbiornik roboczy otaczarki powinien być izolowany termicznie, posiadać automatyczny system grzewczy z tolerancją ± 5°C oraz układ cyrkulacji asfaltu.</w:t>
      </w:r>
    </w:p>
    <w:p>
      <w:pPr>
        <w:pStyle w:val="Normal"/>
        <w:spacing w:lineRule="auto" w:line="240" w:before="0" w:after="0"/>
        <w:ind w:firstLine="344" w:left="364"/>
        <w:jc w:val="both"/>
        <w:rPr>
          <w:rFonts w:cs="Calibri"/>
          <w:sz w:val="20"/>
          <w:szCs w:val="20"/>
        </w:rPr>
      </w:pPr>
      <w:r>
        <w:rPr>
          <w:rFonts w:cs="Calibri"/>
          <w:sz w:val="20"/>
          <w:szCs w:val="20"/>
        </w:rPr>
      </w:r>
    </w:p>
    <w:p>
      <w:pPr>
        <w:pStyle w:val="Normal"/>
        <w:spacing w:lineRule="auto" w:line="240" w:before="0" w:after="0"/>
        <w:jc w:val="both"/>
        <w:rPr>
          <w:rFonts w:cs="Calibri"/>
          <w:sz w:val="20"/>
          <w:szCs w:val="20"/>
        </w:rPr>
      </w:pPr>
      <w:r>
        <w:rPr>
          <w:rFonts w:cs="Calibri"/>
          <w:sz w:val="20"/>
          <w:szCs w:val="20"/>
        </w:rPr>
        <w:t>2.3. Kruszywo</w:t>
      </w:r>
    </w:p>
    <w:p>
      <w:pPr>
        <w:pStyle w:val="Normal"/>
        <w:spacing w:lineRule="auto" w:line="240" w:before="0" w:after="0"/>
        <w:ind w:left="364"/>
        <w:jc w:val="both"/>
        <w:rPr>
          <w:rFonts w:cs="Calibri"/>
          <w:sz w:val="20"/>
          <w:szCs w:val="20"/>
        </w:rPr>
      </w:pPr>
      <w:r>
        <w:rPr>
          <w:rFonts w:cs="Calibri"/>
          <w:sz w:val="20"/>
          <w:szCs w:val="20"/>
        </w:rPr>
        <w:t xml:space="preserve">Do warstwy ścieralnej z betonu asfaltowego należy stosować kruszywo według PN-EN 13043 [44] i WT-1 Kruszywa 2010 [64], obejmujące kruszywo grube , kruszywo drobne i wypełniacz. Kruszywa powinny spełniać wymagania podane w załączniku 2 Składowanie kruszywa powinno się odbywać w warunkach zabezpieczających je przed zanieczyszczeniem i zmieszaniem z kruszywem o innym wymiarze lub pochodzeniu. Podłoże składowiska musi być równe, utwardzone i odwodnione. Składowanie wypełniacza powinno się odbywać w silosach wyposażonych </w:t>
        <w:br/>
        <w:t>w urządzenia do aeracji.</w:t>
      </w:r>
    </w:p>
    <w:p>
      <w:pPr>
        <w:pStyle w:val="Normal"/>
        <w:spacing w:lineRule="auto" w:line="240" w:before="0" w:after="0"/>
        <w:ind w:left="364"/>
        <w:jc w:val="both"/>
        <w:rPr>
          <w:rFonts w:cs="Calibri"/>
          <w:sz w:val="20"/>
          <w:szCs w:val="20"/>
        </w:rPr>
      </w:pPr>
      <w:r>
        <w:rPr>
          <w:rFonts w:cs="Calibri"/>
          <w:sz w:val="20"/>
          <w:szCs w:val="20"/>
        </w:rPr>
      </w:r>
    </w:p>
    <w:p>
      <w:pPr>
        <w:pStyle w:val="Normal"/>
        <w:spacing w:lineRule="auto" w:line="240" w:before="0" w:after="0"/>
        <w:jc w:val="both"/>
        <w:rPr>
          <w:rFonts w:cs="Calibri"/>
          <w:sz w:val="20"/>
          <w:szCs w:val="20"/>
        </w:rPr>
      </w:pPr>
      <w:r>
        <w:rPr>
          <w:rFonts w:cs="Calibri"/>
          <w:sz w:val="20"/>
          <w:szCs w:val="20"/>
        </w:rPr>
        <w:t>2.4. Środek adhezyjny</w:t>
      </w:r>
    </w:p>
    <w:p>
      <w:pPr>
        <w:pStyle w:val="Normal"/>
        <w:spacing w:lineRule="auto" w:line="240" w:before="0" w:after="0"/>
        <w:ind w:left="364"/>
        <w:jc w:val="both"/>
        <w:rPr>
          <w:rFonts w:cs="Calibri"/>
          <w:sz w:val="20"/>
          <w:szCs w:val="20"/>
        </w:rPr>
      </w:pPr>
      <w:r>
        <w:rPr>
          <w:rFonts w:cs="Calibri"/>
          <w:sz w:val="20"/>
          <w:szCs w:val="20"/>
        </w:rPr>
        <w:t>W celu poprawy powinowactwa fizykochemicznego lepiszcza asfaltowego i kruszywa, gwarantującego odpowiednią przyczepność (adhezję) lepiszcza do kruszywa i odporność mieszanki mineralno-asfaltowej na działanie wody, należy dobrać i zastosować środek adhezyjny, tak aby dla konkretnej pary kruszywo-lepiszcze</w:t>
      </w:r>
    </w:p>
    <w:p>
      <w:pPr>
        <w:pStyle w:val="Normal"/>
        <w:spacing w:lineRule="auto" w:line="240" w:before="0" w:after="0"/>
        <w:ind w:left="364"/>
        <w:jc w:val="both"/>
        <w:rPr>
          <w:rFonts w:cs="Calibri"/>
          <w:sz w:val="20"/>
          <w:szCs w:val="20"/>
        </w:rPr>
      </w:pPr>
      <w:r>
        <w:rPr>
          <w:rFonts w:cs="Calibri"/>
          <w:sz w:val="20"/>
          <w:szCs w:val="20"/>
        </w:rPr>
        <w:t>wartość przyczepności określona według PN-EN 12697-11, metoda C [34] wynosiła co najmniej 80%.</w:t>
      </w:r>
    </w:p>
    <w:p>
      <w:pPr>
        <w:pStyle w:val="Normal"/>
        <w:spacing w:lineRule="auto" w:line="240" w:before="0" w:after="0"/>
        <w:ind w:left="364"/>
        <w:jc w:val="both"/>
        <w:rPr>
          <w:rFonts w:cs="Calibri"/>
          <w:sz w:val="20"/>
          <w:szCs w:val="20"/>
        </w:rPr>
      </w:pPr>
      <w:r>
        <w:rPr>
          <w:rFonts w:cs="Calibri"/>
          <w:sz w:val="20"/>
          <w:szCs w:val="20"/>
        </w:rPr>
        <w:t>Środek adhezyjny powinien odpowiadać wymaganiom określonym przez producenta.</w:t>
      </w:r>
    </w:p>
    <w:p>
      <w:pPr>
        <w:pStyle w:val="Normal"/>
        <w:spacing w:lineRule="auto" w:line="240" w:before="0" w:after="0"/>
        <w:ind w:left="364"/>
        <w:jc w:val="both"/>
        <w:rPr>
          <w:rFonts w:cs="Calibri"/>
          <w:sz w:val="20"/>
          <w:szCs w:val="20"/>
        </w:rPr>
      </w:pPr>
      <w:r>
        <w:rPr>
          <w:rFonts w:cs="Calibri"/>
          <w:sz w:val="20"/>
          <w:szCs w:val="20"/>
        </w:rPr>
        <w:t>Składowanie środka adhezyjnego jest dozwolone tylko w oryginalnych opakowaniach, w warunkach określonych przez producenta.</w:t>
      </w:r>
    </w:p>
    <w:p>
      <w:pPr>
        <w:pStyle w:val="Normal"/>
        <w:spacing w:lineRule="auto" w:line="240" w:before="0" w:after="0"/>
        <w:ind w:left="364"/>
        <w:jc w:val="both"/>
        <w:rPr>
          <w:rFonts w:cs="Calibri"/>
          <w:sz w:val="20"/>
          <w:szCs w:val="20"/>
        </w:rPr>
      </w:pPr>
      <w:r>
        <w:rPr>
          <w:rFonts w:cs="Calibri"/>
          <w:sz w:val="20"/>
          <w:szCs w:val="20"/>
        </w:rPr>
      </w:r>
    </w:p>
    <w:p>
      <w:pPr>
        <w:pStyle w:val="Normal"/>
        <w:spacing w:lineRule="auto" w:line="240" w:before="0" w:after="0"/>
        <w:jc w:val="both"/>
        <w:rPr>
          <w:rFonts w:cs="Calibri"/>
          <w:sz w:val="20"/>
          <w:szCs w:val="20"/>
        </w:rPr>
      </w:pPr>
      <w:r>
        <w:rPr>
          <w:rFonts w:cs="Calibri"/>
          <w:sz w:val="20"/>
          <w:szCs w:val="20"/>
        </w:rPr>
        <w:t>2.5. Materiały do uszczelnienia połączeń i krawędzi</w:t>
      </w:r>
    </w:p>
    <w:p>
      <w:pPr>
        <w:pStyle w:val="Normal"/>
        <w:spacing w:lineRule="auto" w:line="240" w:before="0" w:after="0"/>
        <w:ind w:left="364"/>
        <w:jc w:val="both"/>
        <w:rPr>
          <w:rFonts w:cs="Calibri"/>
          <w:sz w:val="20"/>
          <w:szCs w:val="20"/>
        </w:rPr>
      </w:pPr>
      <w:r>
        <w:rPr>
          <w:rFonts w:cs="Calibri"/>
          <w:sz w:val="20"/>
          <w:szCs w:val="20"/>
        </w:rPr>
        <w:t>Do uszczelnienia połączeń technologicznych (tj. złączy podłużnych i poprzecznych z tego samego materiału wykonywanego w różnym czasie oraz spoin stanowiących połączenia różnych materiałów lub połączenie warstwy asfaltowej z urządzeniami obcymi w nawierzchni lub ją ograniczającymi, należy stosować:</w:t>
      </w:r>
    </w:p>
    <w:p>
      <w:pPr>
        <w:pStyle w:val="Normal"/>
        <w:spacing w:lineRule="auto" w:line="240" w:before="0" w:after="0"/>
        <w:ind w:left="364"/>
        <w:jc w:val="both"/>
        <w:rPr>
          <w:rFonts w:cs="Calibri"/>
          <w:sz w:val="20"/>
          <w:szCs w:val="20"/>
        </w:rPr>
      </w:pPr>
      <w:r>
        <w:rPr>
          <w:rFonts w:cs="Calibri"/>
          <w:sz w:val="20"/>
          <w:szCs w:val="20"/>
        </w:rPr>
        <w:t>a) materiały termoplastyczne, jak taśmy asfaltowe, pasty itp. według norm lub aprobat technicznych,</w:t>
      </w:r>
    </w:p>
    <w:p>
      <w:pPr>
        <w:pStyle w:val="Normal"/>
        <w:spacing w:lineRule="auto" w:line="240" w:before="0" w:after="0"/>
        <w:ind w:left="364"/>
        <w:jc w:val="both"/>
        <w:rPr>
          <w:rFonts w:cs="Calibri"/>
          <w:sz w:val="20"/>
          <w:szCs w:val="20"/>
        </w:rPr>
      </w:pPr>
      <w:r>
        <w:rPr>
          <w:rFonts w:cs="Calibri"/>
          <w:sz w:val="20"/>
          <w:szCs w:val="20"/>
        </w:rPr>
        <w:t>b) emulsję asfaltową według PN-EN 13808 [58] lub inne lepiszcza według norm lub aprobat technicznych</w:t>
      </w:r>
    </w:p>
    <w:p>
      <w:pPr>
        <w:pStyle w:val="Normal"/>
        <w:spacing w:lineRule="auto" w:line="240" w:before="0" w:after="0"/>
        <w:ind w:left="364"/>
        <w:jc w:val="both"/>
        <w:rPr>
          <w:rFonts w:cs="Calibri"/>
          <w:sz w:val="20"/>
          <w:szCs w:val="20"/>
        </w:rPr>
      </w:pPr>
      <w:r>
        <w:rPr>
          <w:rFonts w:cs="Calibri"/>
          <w:sz w:val="20"/>
          <w:szCs w:val="20"/>
        </w:rPr>
        <w:t>Grubość materiału termoplastycznego do spoiny powinna wynosić:</w:t>
      </w:r>
    </w:p>
    <w:p>
      <w:pPr>
        <w:pStyle w:val="Normal"/>
        <w:spacing w:lineRule="auto" w:line="240" w:before="0" w:after="0"/>
        <w:ind w:left="364"/>
        <w:jc w:val="both"/>
        <w:rPr>
          <w:rFonts w:cs="Calibri"/>
          <w:sz w:val="20"/>
          <w:szCs w:val="20"/>
        </w:rPr>
      </w:pPr>
      <w:r>
        <w:rPr>
          <w:rFonts w:cs="Calibri"/>
          <w:sz w:val="20"/>
          <w:szCs w:val="20"/>
        </w:rPr>
        <w:t xml:space="preserve">– </w:t>
      </w:r>
      <w:r>
        <w:rPr>
          <w:rFonts w:cs="Calibri"/>
          <w:sz w:val="20"/>
          <w:szCs w:val="20"/>
        </w:rPr>
        <w:t>nie mniej niż 10 mm przy grubości warstwy technologicznej do 2,5 cm,</w:t>
      </w:r>
    </w:p>
    <w:p>
      <w:pPr>
        <w:pStyle w:val="Normal"/>
        <w:spacing w:lineRule="auto" w:line="240" w:before="0" w:after="0"/>
        <w:ind w:left="364"/>
        <w:jc w:val="both"/>
        <w:rPr>
          <w:rFonts w:cs="Calibri"/>
          <w:sz w:val="20"/>
          <w:szCs w:val="20"/>
        </w:rPr>
      </w:pPr>
      <w:r>
        <w:rPr>
          <w:rFonts w:cs="Calibri"/>
          <w:sz w:val="20"/>
          <w:szCs w:val="20"/>
        </w:rPr>
        <w:t xml:space="preserve">– </w:t>
      </w:r>
      <w:r>
        <w:rPr>
          <w:rFonts w:cs="Calibri"/>
          <w:sz w:val="20"/>
          <w:szCs w:val="20"/>
        </w:rPr>
        <w:t>nie mniej niż 15 mm przy grubości warstwy technologicznej większej niż 2,5 cm.</w:t>
      </w:r>
    </w:p>
    <w:p>
      <w:pPr>
        <w:pStyle w:val="Normal"/>
        <w:spacing w:lineRule="auto" w:line="240" w:before="0" w:after="0"/>
        <w:ind w:left="364"/>
        <w:jc w:val="both"/>
        <w:rPr>
          <w:rFonts w:cs="Calibri"/>
          <w:sz w:val="20"/>
          <w:szCs w:val="20"/>
        </w:rPr>
      </w:pPr>
      <w:r>
        <w:rPr>
          <w:rFonts w:cs="Calibri"/>
          <w:sz w:val="20"/>
          <w:szCs w:val="20"/>
        </w:rPr>
        <w:t xml:space="preserve">Składowanie materiałów termoplastycznych jest dozwolone tylko w oryginalnych opakowaniach producenta </w:t>
        <w:br/>
        <w:t>w warunkach określonych w aprobacie technicznej.</w:t>
      </w:r>
    </w:p>
    <w:p>
      <w:pPr>
        <w:pStyle w:val="Normal"/>
        <w:spacing w:lineRule="auto" w:line="240" w:before="0" w:after="0"/>
        <w:ind w:left="364"/>
        <w:jc w:val="both"/>
        <w:rPr>
          <w:rFonts w:cs="Calibri"/>
          <w:sz w:val="20"/>
          <w:szCs w:val="20"/>
        </w:rPr>
      </w:pPr>
      <w:r>
        <w:rPr>
          <w:rFonts w:cs="Calibri"/>
          <w:sz w:val="20"/>
          <w:szCs w:val="20"/>
        </w:rPr>
        <w:t>Do uszczelnienia krawędzi należy stosować asfalt drogowy wg PN-EN 12591 [27], asfalt modyfikowany polimerami wg PN-EN 14023 [59] „metoda na gorąco”. Dopuszcza się inne rodzaje lepiszcza wg norm lub aprobat technicznych.</w:t>
      </w:r>
    </w:p>
    <w:p>
      <w:pPr>
        <w:pStyle w:val="Normal"/>
        <w:spacing w:lineRule="auto" w:line="240" w:before="0" w:after="0"/>
        <w:ind w:left="364"/>
        <w:jc w:val="both"/>
        <w:rPr>
          <w:rFonts w:cs="Calibri"/>
          <w:sz w:val="20"/>
          <w:szCs w:val="20"/>
        </w:rPr>
      </w:pPr>
      <w:r>
        <w:rPr>
          <w:rFonts w:cs="Calibri"/>
          <w:sz w:val="20"/>
          <w:szCs w:val="20"/>
        </w:rPr>
        <w:t>Inwestor zastrzega sobie aby układanie warstw bitumicznych na tej inwestycji wykonać bez złączy podłużnych tj całą szer. Jezdni.</w:t>
      </w:r>
    </w:p>
    <w:p>
      <w:pPr>
        <w:pStyle w:val="Normal"/>
        <w:spacing w:lineRule="auto" w:line="240" w:before="0" w:after="0"/>
        <w:ind w:left="364"/>
        <w:jc w:val="both"/>
        <w:rPr>
          <w:rFonts w:cs="Calibri"/>
          <w:sz w:val="20"/>
          <w:szCs w:val="20"/>
        </w:rPr>
      </w:pPr>
      <w:r>
        <w:rPr>
          <w:rFonts w:cs="Calibri"/>
          <w:sz w:val="20"/>
          <w:szCs w:val="20"/>
        </w:rPr>
      </w:r>
    </w:p>
    <w:p>
      <w:pPr>
        <w:pStyle w:val="Normal"/>
        <w:spacing w:lineRule="auto" w:line="240" w:before="0" w:after="0"/>
        <w:jc w:val="both"/>
        <w:rPr>
          <w:rFonts w:cs="Calibri"/>
          <w:sz w:val="20"/>
          <w:szCs w:val="20"/>
        </w:rPr>
      </w:pPr>
      <w:r>
        <w:rPr>
          <w:rFonts w:cs="Calibri"/>
          <w:sz w:val="20"/>
          <w:szCs w:val="20"/>
        </w:rPr>
        <w:t>2.6. Materiały do złączenia warstw konstrukcji</w:t>
      </w:r>
    </w:p>
    <w:p>
      <w:pPr>
        <w:pStyle w:val="Normal"/>
        <w:spacing w:lineRule="auto" w:line="240" w:before="0" w:after="0"/>
        <w:ind w:left="364"/>
        <w:jc w:val="both"/>
        <w:rPr>
          <w:rFonts w:cs="Calibri"/>
          <w:sz w:val="20"/>
          <w:szCs w:val="20"/>
        </w:rPr>
      </w:pPr>
      <w:r>
        <w:rPr>
          <w:rFonts w:cs="Calibri"/>
          <w:sz w:val="20"/>
          <w:szCs w:val="20"/>
        </w:rPr>
        <w:t>Do złączania warstw konstrukcji nawierzchni (warstwa wiążąca z warstwą ścieralną) należy stosować kationowe emulsje asfaltowe lub kationowe emulsje modyfikowane polimerami według PN-EN 13808 [58] i załącznika 3</w:t>
      </w:r>
    </w:p>
    <w:p>
      <w:pPr>
        <w:pStyle w:val="Normal"/>
        <w:spacing w:lineRule="auto" w:line="240" w:before="0" w:after="0"/>
        <w:ind w:left="364"/>
        <w:jc w:val="both"/>
        <w:rPr>
          <w:rFonts w:cs="Calibri"/>
          <w:sz w:val="20"/>
          <w:szCs w:val="20"/>
        </w:rPr>
      </w:pPr>
      <w:r>
        <w:rPr>
          <w:rFonts w:cs="Calibri"/>
          <w:sz w:val="20"/>
          <w:szCs w:val="20"/>
        </w:rPr>
        <w:t>Emulsję asfaltową można składować w opakowaniach transportowych lub w stacjonarnych zbiornikach pionowych z nalewaniem od dna. Nie należy nalewać emulsji do opakowań i zbiorników zanieczyszczonych materiałami mineralnymi.</w:t>
      </w:r>
    </w:p>
    <w:p>
      <w:pPr>
        <w:pStyle w:val="Normal"/>
        <w:spacing w:lineRule="auto" w:line="240" w:before="0" w:after="0"/>
        <w:ind w:left="364"/>
        <w:jc w:val="both"/>
        <w:rPr>
          <w:rFonts w:cs="Calibri"/>
          <w:sz w:val="20"/>
          <w:szCs w:val="20"/>
        </w:rPr>
      </w:pPr>
      <w:r>
        <w:rPr>
          <w:rFonts w:cs="Calibri"/>
          <w:sz w:val="20"/>
          <w:szCs w:val="20"/>
        </w:rPr>
      </w:r>
    </w:p>
    <w:p>
      <w:pPr>
        <w:pStyle w:val="Normal"/>
        <w:spacing w:lineRule="auto" w:line="240" w:before="0" w:after="0"/>
        <w:jc w:val="both"/>
        <w:rPr>
          <w:rFonts w:cs="Calibri"/>
          <w:sz w:val="20"/>
          <w:szCs w:val="20"/>
        </w:rPr>
      </w:pPr>
      <w:r>
        <w:rPr>
          <w:rFonts w:cs="Calibri"/>
          <w:sz w:val="20"/>
          <w:szCs w:val="20"/>
        </w:rPr>
        <w:t>3. SPRZĘT</w:t>
      </w:r>
    </w:p>
    <w:p>
      <w:pPr>
        <w:pStyle w:val="Normal"/>
        <w:spacing w:lineRule="auto" w:line="240" w:before="0" w:after="0"/>
        <w:jc w:val="both"/>
        <w:rPr>
          <w:rFonts w:cs="Calibri"/>
          <w:sz w:val="20"/>
          <w:szCs w:val="20"/>
        </w:rPr>
      </w:pPr>
      <w:r>
        <w:rPr>
          <w:rFonts w:cs="Calibri"/>
          <w:sz w:val="20"/>
          <w:szCs w:val="20"/>
        </w:rPr>
        <w:t>3.1. Ogólne wymagania dotyczące sprzętu</w:t>
      </w:r>
    </w:p>
    <w:p>
      <w:pPr>
        <w:pStyle w:val="Normal"/>
        <w:spacing w:lineRule="auto" w:line="240" w:before="0" w:after="0"/>
        <w:ind w:left="364"/>
        <w:jc w:val="both"/>
        <w:rPr>
          <w:rFonts w:cs="Calibri"/>
          <w:sz w:val="20"/>
          <w:szCs w:val="20"/>
        </w:rPr>
      </w:pPr>
      <w:r>
        <w:rPr>
          <w:rFonts w:cs="Calibri"/>
          <w:sz w:val="20"/>
          <w:szCs w:val="20"/>
        </w:rPr>
        <w:t>Ogólne wymagania dotyczące sprzętu podano w STWIORB D-M-00.00.00 „Wymagania ogólne” [1] pkt 3.</w:t>
      </w:r>
    </w:p>
    <w:p>
      <w:pPr>
        <w:pStyle w:val="Normal"/>
        <w:spacing w:lineRule="auto" w:line="240" w:before="0" w:after="0"/>
        <w:ind w:left="364"/>
        <w:jc w:val="both"/>
        <w:rPr>
          <w:rFonts w:cs="Calibri"/>
          <w:sz w:val="20"/>
          <w:szCs w:val="20"/>
        </w:rPr>
      </w:pPr>
      <w:r>
        <w:rPr>
          <w:rFonts w:cs="Calibri"/>
          <w:sz w:val="20"/>
          <w:szCs w:val="20"/>
        </w:rPr>
      </w:r>
    </w:p>
    <w:p>
      <w:pPr>
        <w:pStyle w:val="Normal"/>
        <w:spacing w:lineRule="auto" w:line="240" w:before="0" w:after="0"/>
        <w:jc w:val="both"/>
        <w:rPr>
          <w:rFonts w:cs="Calibri"/>
          <w:sz w:val="20"/>
          <w:szCs w:val="20"/>
        </w:rPr>
      </w:pPr>
      <w:r>
        <w:rPr>
          <w:rFonts w:cs="Calibri"/>
          <w:sz w:val="20"/>
          <w:szCs w:val="20"/>
        </w:rPr>
        <w:t>3.2. Sprzęt stosowany do wykonania robót</w:t>
      </w:r>
    </w:p>
    <w:p>
      <w:pPr>
        <w:pStyle w:val="Normal"/>
        <w:spacing w:lineRule="auto" w:line="240" w:before="0" w:after="0"/>
        <w:ind w:left="364"/>
        <w:jc w:val="both"/>
        <w:rPr>
          <w:rFonts w:cs="Calibri"/>
          <w:sz w:val="20"/>
          <w:szCs w:val="20"/>
        </w:rPr>
      </w:pPr>
      <w:r>
        <w:rPr>
          <w:rFonts w:cs="Calibri"/>
          <w:sz w:val="20"/>
          <w:szCs w:val="20"/>
        </w:rPr>
        <w:t>Przy wykonywaniu robót Wykonawca w zależności od potrzeb, powinien wykazać się możliwością korzystania ze sprzętu dostosowanego do przyjętej metody robót, jak:</w:t>
      </w:r>
    </w:p>
    <w:p>
      <w:pPr>
        <w:pStyle w:val="ListParagraph"/>
        <w:numPr>
          <w:ilvl w:val="0"/>
          <w:numId w:val="1"/>
        </w:numPr>
        <w:spacing w:lineRule="auto" w:line="240" w:before="0" w:after="0"/>
        <w:contextualSpacing/>
        <w:jc w:val="both"/>
        <w:rPr>
          <w:rFonts w:cs="Calibri"/>
          <w:sz w:val="20"/>
          <w:szCs w:val="20"/>
        </w:rPr>
      </w:pPr>
      <w:r>
        <w:rPr>
          <w:rFonts w:cs="Calibri"/>
          <w:sz w:val="20"/>
          <w:szCs w:val="20"/>
        </w:rPr>
        <w:t>wytwórnia (otaczarka) o mieszaniu cyklicznym lub ciągłym, z automatycznym komputerowym sterowaniem produkcji, do wytwarzania mieszanek mineralno-asfaltowych,</w:t>
      </w:r>
    </w:p>
    <w:p>
      <w:pPr>
        <w:pStyle w:val="ListParagraph"/>
        <w:numPr>
          <w:ilvl w:val="0"/>
          <w:numId w:val="1"/>
        </w:numPr>
        <w:spacing w:lineRule="auto" w:line="240" w:before="0" w:after="0"/>
        <w:contextualSpacing/>
        <w:jc w:val="both"/>
        <w:rPr>
          <w:rFonts w:cs="Calibri"/>
          <w:sz w:val="20"/>
          <w:szCs w:val="20"/>
        </w:rPr>
      </w:pPr>
      <w:r>
        <w:rPr>
          <w:rFonts w:cs="Calibri"/>
          <w:sz w:val="20"/>
          <w:szCs w:val="20"/>
        </w:rPr>
        <w:t>układarka gąsienicowa, z elektronicznym sterowaniem równości układanej warstwy,</w:t>
      </w:r>
    </w:p>
    <w:p>
      <w:pPr>
        <w:pStyle w:val="ListParagraph"/>
        <w:numPr>
          <w:ilvl w:val="0"/>
          <w:numId w:val="1"/>
        </w:numPr>
        <w:spacing w:lineRule="auto" w:line="240" w:before="0" w:after="0"/>
        <w:contextualSpacing/>
        <w:jc w:val="both"/>
        <w:rPr>
          <w:rFonts w:cs="Calibri"/>
          <w:sz w:val="20"/>
          <w:szCs w:val="20"/>
        </w:rPr>
      </w:pPr>
      <w:r>
        <w:rPr>
          <w:rFonts w:cs="Calibri"/>
          <w:sz w:val="20"/>
          <w:szCs w:val="20"/>
        </w:rPr>
        <w:t>walce stalowe gładkie,</w:t>
      </w:r>
    </w:p>
    <w:p>
      <w:pPr>
        <w:pStyle w:val="ListParagraph"/>
        <w:numPr>
          <w:ilvl w:val="0"/>
          <w:numId w:val="1"/>
        </w:numPr>
        <w:spacing w:lineRule="auto" w:line="240" w:before="0" w:after="0"/>
        <w:contextualSpacing/>
        <w:jc w:val="both"/>
        <w:rPr>
          <w:rFonts w:cs="Calibri"/>
          <w:sz w:val="20"/>
          <w:szCs w:val="20"/>
        </w:rPr>
      </w:pPr>
      <w:r>
        <w:rPr>
          <w:rFonts w:cs="Calibri"/>
          <w:sz w:val="20"/>
          <w:szCs w:val="20"/>
        </w:rPr>
        <w:t>walce ogumione</w:t>
      </w:r>
    </w:p>
    <w:p>
      <w:pPr>
        <w:pStyle w:val="ListParagraph"/>
        <w:numPr>
          <w:ilvl w:val="0"/>
          <w:numId w:val="1"/>
        </w:numPr>
        <w:spacing w:lineRule="auto" w:line="240" w:before="0" w:after="0"/>
        <w:contextualSpacing/>
        <w:jc w:val="both"/>
        <w:rPr>
          <w:rFonts w:cs="Calibri"/>
          <w:sz w:val="20"/>
          <w:szCs w:val="20"/>
        </w:rPr>
      </w:pPr>
      <w:r>
        <w:rPr>
          <w:rFonts w:cs="Calibri"/>
          <w:sz w:val="20"/>
          <w:szCs w:val="20"/>
        </w:rPr>
        <w:t>szczotki mechaniczne i/lub inne urządzenia czyszczące,</w:t>
      </w:r>
    </w:p>
    <w:p>
      <w:pPr>
        <w:pStyle w:val="ListParagraph"/>
        <w:numPr>
          <w:ilvl w:val="0"/>
          <w:numId w:val="1"/>
        </w:numPr>
        <w:spacing w:lineRule="auto" w:line="240" w:before="0" w:after="0"/>
        <w:contextualSpacing/>
        <w:jc w:val="both"/>
        <w:rPr>
          <w:rFonts w:cs="Calibri"/>
          <w:sz w:val="20"/>
          <w:szCs w:val="20"/>
        </w:rPr>
      </w:pPr>
      <w:r>
        <w:rPr>
          <w:rFonts w:cs="Calibri"/>
          <w:sz w:val="20"/>
          <w:szCs w:val="20"/>
        </w:rPr>
        <w:t>samochody samowyładowcze z przykryciem brezentowym lub termosami,</w:t>
      </w:r>
    </w:p>
    <w:p>
      <w:pPr>
        <w:pStyle w:val="ListParagraph"/>
        <w:numPr>
          <w:ilvl w:val="0"/>
          <w:numId w:val="1"/>
        </w:numPr>
        <w:spacing w:lineRule="auto" w:line="240" w:before="0" w:after="0"/>
        <w:contextualSpacing/>
        <w:jc w:val="both"/>
        <w:rPr>
          <w:rFonts w:cs="Calibri"/>
          <w:sz w:val="20"/>
          <w:szCs w:val="20"/>
        </w:rPr>
      </w:pPr>
      <w:r>
        <w:rPr>
          <w:rFonts w:cs="Calibri"/>
          <w:sz w:val="20"/>
          <w:szCs w:val="20"/>
        </w:rPr>
        <w:t>sprzęt drobny.</w:t>
      </w:r>
    </w:p>
    <w:p>
      <w:pPr>
        <w:pStyle w:val="Normal"/>
        <w:spacing w:lineRule="auto" w:line="240" w:before="0" w:after="0"/>
        <w:ind w:left="364"/>
        <w:jc w:val="both"/>
        <w:rPr>
          <w:rFonts w:cs="Calibri"/>
          <w:sz w:val="20"/>
          <w:szCs w:val="20"/>
        </w:rPr>
      </w:pPr>
      <w:r>
        <w:rPr>
          <w:rFonts w:cs="Calibri"/>
          <w:sz w:val="20"/>
          <w:szCs w:val="20"/>
        </w:rPr>
      </w:r>
    </w:p>
    <w:p>
      <w:pPr>
        <w:pStyle w:val="Normal"/>
        <w:spacing w:lineRule="auto" w:line="240" w:before="0" w:after="0"/>
        <w:jc w:val="both"/>
        <w:rPr>
          <w:rFonts w:cs="Calibri"/>
          <w:b/>
          <w:sz w:val="20"/>
          <w:szCs w:val="20"/>
        </w:rPr>
      </w:pPr>
      <w:r>
        <w:rPr>
          <w:rFonts w:cs="Calibri"/>
          <w:b/>
          <w:sz w:val="20"/>
          <w:szCs w:val="20"/>
        </w:rPr>
        <w:t>4. TRANSPORT</w:t>
      </w:r>
    </w:p>
    <w:p>
      <w:pPr>
        <w:pStyle w:val="Normal"/>
        <w:spacing w:lineRule="auto" w:line="240" w:before="0" w:after="0"/>
        <w:jc w:val="both"/>
        <w:rPr>
          <w:rFonts w:cs="Calibri"/>
          <w:sz w:val="20"/>
          <w:szCs w:val="20"/>
        </w:rPr>
      </w:pPr>
      <w:r>
        <w:rPr>
          <w:rFonts w:cs="Calibri"/>
          <w:sz w:val="20"/>
          <w:szCs w:val="20"/>
        </w:rPr>
        <w:t>4.1. Ogólne wymagania dotyczące transportu</w:t>
      </w:r>
    </w:p>
    <w:p>
      <w:pPr>
        <w:pStyle w:val="Normal"/>
        <w:spacing w:lineRule="auto" w:line="240" w:before="0" w:after="0"/>
        <w:ind w:left="364"/>
        <w:jc w:val="both"/>
        <w:rPr>
          <w:rFonts w:cs="Calibri"/>
          <w:sz w:val="20"/>
          <w:szCs w:val="20"/>
        </w:rPr>
      </w:pPr>
      <w:r>
        <w:rPr>
          <w:rFonts w:cs="Calibri"/>
          <w:sz w:val="20"/>
          <w:szCs w:val="20"/>
        </w:rPr>
        <w:t>Ogólne wymagania dotyczące transportu podano w STWIORB D-M-00.00.00 „Wymagania ogólne” [1] pkt 4.</w:t>
      </w:r>
    </w:p>
    <w:p>
      <w:pPr>
        <w:pStyle w:val="Normal"/>
        <w:spacing w:lineRule="auto" w:line="240" w:before="0" w:after="0"/>
        <w:ind w:left="364"/>
        <w:jc w:val="both"/>
        <w:rPr>
          <w:rFonts w:cs="Calibri"/>
          <w:sz w:val="20"/>
          <w:szCs w:val="20"/>
        </w:rPr>
      </w:pPr>
      <w:r>
        <w:rPr>
          <w:rFonts w:cs="Calibri"/>
          <w:sz w:val="20"/>
          <w:szCs w:val="20"/>
        </w:rPr>
      </w:r>
    </w:p>
    <w:p>
      <w:pPr>
        <w:pStyle w:val="Normal"/>
        <w:spacing w:lineRule="auto" w:line="240" w:before="0" w:after="0"/>
        <w:jc w:val="both"/>
        <w:rPr>
          <w:rFonts w:cs="Calibri"/>
          <w:sz w:val="20"/>
          <w:szCs w:val="20"/>
        </w:rPr>
      </w:pPr>
      <w:r>
        <w:rPr>
          <w:rFonts w:cs="Calibri"/>
          <w:sz w:val="20"/>
          <w:szCs w:val="20"/>
        </w:rPr>
        <w:t>4.2. Transport materiałów</w:t>
      </w:r>
    </w:p>
    <w:p>
      <w:pPr>
        <w:pStyle w:val="Normal"/>
        <w:spacing w:lineRule="auto" w:line="240" w:before="0" w:after="0"/>
        <w:ind w:left="364"/>
        <w:jc w:val="both"/>
        <w:rPr>
          <w:rFonts w:cs="Calibri"/>
          <w:sz w:val="20"/>
          <w:szCs w:val="20"/>
        </w:rPr>
      </w:pPr>
      <w:r>
        <w:rPr>
          <w:rFonts w:cs="Calibri"/>
          <w:sz w:val="20"/>
          <w:szCs w:val="20"/>
        </w:rPr>
        <w:t>Asfalt należy przewozić w cysternach kolejowych lub samochodach izolowanych i zaopatrzonych w urządzenia umożliwiające pośrednie ogrzewanie oraz w zawory spustowe.</w:t>
      </w:r>
    </w:p>
    <w:p>
      <w:pPr>
        <w:pStyle w:val="Normal"/>
        <w:spacing w:lineRule="auto" w:line="240" w:before="0" w:after="0"/>
        <w:ind w:left="364"/>
        <w:jc w:val="both"/>
        <w:rPr>
          <w:rFonts w:cs="Calibri"/>
          <w:sz w:val="20"/>
          <w:szCs w:val="20"/>
        </w:rPr>
      </w:pPr>
      <w:r>
        <w:rPr>
          <w:rFonts w:cs="Calibri"/>
          <w:sz w:val="20"/>
          <w:szCs w:val="20"/>
        </w:rPr>
        <w:t>Kruszywa można przewozić dowolnymi środkami transportu, w warunkach zabezpieczających je przed zanieczyszczeniem, zmieszaniem z innymi materiałami i nadmiernym zawilgoceniem.</w:t>
      </w:r>
    </w:p>
    <w:p>
      <w:pPr>
        <w:pStyle w:val="Normal"/>
        <w:spacing w:lineRule="auto" w:line="240" w:before="0" w:after="0"/>
        <w:ind w:left="364"/>
        <w:jc w:val="both"/>
        <w:rPr>
          <w:rFonts w:cs="Calibri"/>
          <w:sz w:val="20"/>
          <w:szCs w:val="20"/>
        </w:rPr>
      </w:pPr>
      <w:r>
        <w:rPr>
          <w:rFonts w:cs="Calibri"/>
          <w:sz w:val="20"/>
          <w:szCs w:val="20"/>
        </w:rPr>
        <w:t>Wypełniacz należy przewozić w sposób chroniący go przed zawilgoceniem, zbryleniem i zanieczyszczeniem. Wypełniacz luzem powinien być przewożony w odpowiednich cysternach przystosowanych do przewozu materiałów sypkich, umożliwiających rozładunek pneumatyczny.</w:t>
      </w:r>
    </w:p>
    <w:p>
      <w:pPr>
        <w:pStyle w:val="Normal"/>
        <w:spacing w:lineRule="auto" w:line="240" w:before="0" w:after="0"/>
        <w:ind w:left="364"/>
        <w:jc w:val="both"/>
        <w:rPr>
          <w:rFonts w:cs="Calibri"/>
          <w:sz w:val="20"/>
          <w:szCs w:val="20"/>
        </w:rPr>
      </w:pPr>
      <w:r>
        <w:rPr>
          <w:rFonts w:cs="Calibri"/>
          <w:sz w:val="20"/>
          <w:szCs w:val="20"/>
        </w:rPr>
        <w:t>Emulsja asfaltowa może być transportowana w zamkniętych cysternach, autocysternach, beczkach i innych opakowaniach pod warunkiem, że nie będą korodowały pod wpływem emulsji i nie będą powodowały jej rozpadu. Cysterny powinny być wyposażone w przegrody. Nie należy używać do transportu opakowań z metali lekkich (może zachodzić wydzielanie wodoru i groźba wybuchu przy emulsjach o pH ≤ 4).</w:t>
      </w:r>
    </w:p>
    <w:p>
      <w:pPr>
        <w:pStyle w:val="Normal"/>
        <w:spacing w:lineRule="auto" w:line="240" w:before="0" w:after="0"/>
        <w:ind w:left="364"/>
        <w:jc w:val="both"/>
        <w:rPr>
          <w:rFonts w:cs="Calibri"/>
          <w:sz w:val="20"/>
          <w:szCs w:val="20"/>
        </w:rPr>
      </w:pPr>
      <w:r>
        <w:rPr>
          <w:rFonts w:cs="Calibri"/>
          <w:sz w:val="20"/>
          <w:szCs w:val="20"/>
        </w:rPr>
        <w:t xml:space="preserve">Mieszankę mineralno-asfaltową należy dowozić na budowę pojazdami samowyładowczymi w zależności od postępu robót. Podczas transportu i postoju przed wbudowaniem mieszanka powinna być zabezpieczona przed ostygnięciem i dopływem powietrza (przez przykrycie, pojemniki termoizolacyjne lub ogrzewane itp.). Warunki </w:t>
        <w:br/>
        <w:t>i czas transportu mieszanki, od produkcji do wbudowania, powinna zapewniać utrzymanie temperatury w wymaganym przedziale. Powierzchnie pojemników używanych do transportu mieszanki powinny być czyste, a do zwilżania tych powierzchni można używać tylko środki antyadhezyjne niewpływające szkodliwie na mieszankę.</w:t>
      </w:r>
    </w:p>
    <w:p>
      <w:pPr>
        <w:pStyle w:val="Normal"/>
        <w:spacing w:lineRule="auto" w:line="240" w:before="0" w:after="0"/>
        <w:ind w:left="364"/>
        <w:jc w:val="both"/>
        <w:rPr>
          <w:rFonts w:cs="Calibri"/>
          <w:sz w:val="20"/>
          <w:szCs w:val="20"/>
        </w:rPr>
      </w:pPr>
      <w:r>
        <w:rPr>
          <w:rFonts w:cs="Calibri"/>
          <w:sz w:val="20"/>
          <w:szCs w:val="20"/>
        </w:rPr>
      </w:r>
      <w:r>
        <w:br w:type="page"/>
      </w:r>
    </w:p>
    <w:p>
      <w:pPr>
        <w:pStyle w:val="Normal"/>
        <w:spacing w:before="0" w:after="200"/>
        <w:rPr>
          <w:rFonts w:cs="Calibri"/>
          <w:b/>
          <w:sz w:val="20"/>
          <w:szCs w:val="20"/>
        </w:rPr>
      </w:pPr>
      <w:r>
        <w:rPr>
          <w:rFonts w:cs="Calibri"/>
          <w:b/>
          <w:sz w:val="20"/>
          <w:szCs w:val="20"/>
        </w:rPr>
        <w:t>5. WYKONANIE ROBÓT</w:t>
      </w:r>
    </w:p>
    <w:p>
      <w:pPr>
        <w:pStyle w:val="Normal"/>
        <w:spacing w:lineRule="auto" w:line="240" w:before="0" w:after="0"/>
        <w:jc w:val="both"/>
        <w:rPr>
          <w:rFonts w:cs="Calibri"/>
          <w:sz w:val="20"/>
          <w:szCs w:val="20"/>
        </w:rPr>
      </w:pPr>
      <w:r>
        <w:rPr>
          <w:rFonts w:cs="Calibri"/>
          <w:sz w:val="20"/>
          <w:szCs w:val="20"/>
        </w:rPr>
        <w:t>5.1. Ogólne zasady wykonania robót</w:t>
      </w:r>
    </w:p>
    <w:p>
      <w:pPr>
        <w:pStyle w:val="Normal"/>
        <w:spacing w:lineRule="auto" w:line="240" w:before="0" w:after="0"/>
        <w:ind w:left="364"/>
        <w:jc w:val="both"/>
        <w:rPr>
          <w:rFonts w:cs="Calibri"/>
          <w:sz w:val="20"/>
          <w:szCs w:val="20"/>
        </w:rPr>
      </w:pPr>
      <w:r>
        <w:rPr>
          <w:rFonts w:cs="Calibri"/>
          <w:sz w:val="20"/>
          <w:szCs w:val="20"/>
        </w:rPr>
        <w:t>Ogólne zasady wykonania robót podano w STWIORB D-M-00.00.00 „Wymagania ogólne” [1] pkt 5.</w:t>
      </w:r>
    </w:p>
    <w:p>
      <w:pPr>
        <w:pStyle w:val="Normal"/>
        <w:spacing w:lineRule="auto" w:line="240" w:before="0" w:after="0"/>
        <w:ind w:left="364"/>
        <w:jc w:val="both"/>
        <w:rPr>
          <w:rFonts w:cs="Calibri"/>
          <w:sz w:val="20"/>
          <w:szCs w:val="20"/>
        </w:rPr>
      </w:pPr>
      <w:r>
        <w:rPr>
          <w:rFonts w:cs="Calibri"/>
          <w:sz w:val="20"/>
          <w:szCs w:val="20"/>
        </w:rPr>
      </w:r>
    </w:p>
    <w:p>
      <w:pPr>
        <w:pStyle w:val="Normal"/>
        <w:spacing w:lineRule="auto" w:line="240" w:before="0" w:after="0"/>
        <w:jc w:val="both"/>
        <w:rPr>
          <w:rFonts w:cs="Calibri"/>
          <w:sz w:val="20"/>
          <w:szCs w:val="20"/>
        </w:rPr>
      </w:pPr>
      <w:r>
        <w:rPr>
          <w:rFonts w:cs="Calibri"/>
          <w:sz w:val="20"/>
          <w:szCs w:val="20"/>
        </w:rPr>
        <w:t>5.2. Projektowanie mieszanki mineralno-asfaltowej</w:t>
      </w:r>
    </w:p>
    <w:p>
      <w:pPr>
        <w:pStyle w:val="Normal"/>
        <w:spacing w:lineRule="auto" w:line="240" w:before="0" w:after="0"/>
        <w:ind w:left="364"/>
        <w:jc w:val="both"/>
        <w:rPr>
          <w:rFonts w:cs="Calibri"/>
          <w:sz w:val="20"/>
          <w:szCs w:val="20"/>
        </w:rPr>
      </w:pPr>
      <w:r>
        <w:rPr>
          <w:rFonts w:cs="Calibri"/>
          <w:sz w:val="20"/>
          <w:szCs w:val="20"/>
        </w:rPr>
        <w:t xml:space="preserve">Przed przystąpieniem do robót Wykonawca dostarczy Inżynierowi do akceptacji projekt składu mieszanki mineralno-asfaltowej AC 11 S. Uziarnienie mieszanki mineralnej oraz minimalna zawartość lepiszcza podane są </w:t>
        <w:br/>
        <w:t>w tablicach 6 i 7. Jeżeli stosowana jest mieszanka kruszywa drobnego niełamanego i łamanego, to należy przyjąć</w:t>
      </w:r>
    </w:p>
    <w:p>
      <w:pPr>
        <w:pStyle w:val="Normal"/>
        <w:spacing w:lineRule="auto" w:line="240" w:before="0" w:after="0"/>
        <w:ind w:left="364"/>
        <w:jc w:val="both"/>
        <w:rPr>
          <w:rFonts w:cs="Calibri"/>
          <w:sz w:val="20"/>
          <w:szCs w:val="20"/>
        </w:rPr>
      </w:pPr>
      <w:r>
        <w:rPr>
          <w:rFonts w:cs="Calibri"/>
          <w:sz w:val="20"/>
          <w:szCs w:val="20"/>
        </w:rPr>
        <w:t>proporcję kruszywa łamanego do niełamanego co najmniej 50/50.</w:t>
      </w:r>
    </w:p>
    <w:p>
      <w:pPr>
        <w:pStyle w:val="Normal"/>
        <w:spacing w:lineRule="auto" w:line="240" w:before="0" w:after="0"/>
        <w:ind w:left="364"/>
        <w:jc w:val="both"/>
        <w:rPr>
          <w:rFonts w:cs="Calibri"/>
          <w:sz w:val="20"/>
          <w:szCs w:val="20"/>
        </w:rPr>
      </w:pPr>
      <w:r>
        <w:rPr>
          <w:rFonts w:cs="Calibri"/>
          <w:sz w:val="20"/>
          <w:szCs w:val="20"/>
        </w:rPr>
        <w:t>Wymagane właściwości mieszanki mineralno-asfaltowej podane są w tablicach 8, 9 i 10.</w:t>
      </w:r>
    </w:p>
    <w:p>
      <w:pPr>
        <w:pStyle w:val="Normal"/>
        <w:spacing w:lineRule="auto" w:line="240" w:before="0" w:after="0"/>
        <w:ind w:left="364"/>
        <w:jc w:val="both"/>
        <w:rPr>
          <w:rFonts w:cs="Calibri"/>
          <w:sz w:val="20"/>
          <w:szCs w:val="20"/>
        </w:rPr>
      </w:pPr>
      <w:r>
        <w:rPr>
          <w:rFonts w:cs="Calibri"/>
          <w:sz w:val="20"/>
          <w:szCs w:val="20"/>
        </w:rPr>
      </w:r>
    </w:p>
    <w:p>
      <w:pPr>
        <w:pStyle w:val="Normal"/>
        <w:spacing w:lineRule="auto" w:line="240" w:before="0" w:after="0"/>
        <w:ind w:left="364"/>
        <w:jc w:val="both"/>
        <w:rPr>
          <w:rFonts w:cs="Calibri"/>
          <w:i/>
          <w:i/>
          <w:sz w:val="18"/>
          <w:szCs w:val="20"/>
        </w:rPr>
      </w:pPr>
      <w:r>
        <w:rPr>
          <w:rFonts w:cs="Calibri"/>
          <w:i/>
          <w:sz w:val="18"/>
          <w:szCs w:val="20"/>
        </w:rPr>
        <w:t>Tablica 6. Tablica 7. Uziarnienie mieszanki mineralnej oraz zawartość lepiszcza do betonu asfaltowego do warstwy ścieralnej dla ruchu KR3-KR6 [65]</w:t>
      </w:r>
    </w:p>
    <w:p>
      <w:pPr>
        <w:pStyle w:val="Normal"/>
        <w:spacing w:lineRule="auto" w:line="240" w:before="0" w:after="0"/>
        <w:ind w:left="364"/>
        <w:jc w:val="both"/>
        <w:rPr>
          <w:rFonts w:cs="Calibri"/>
          <w:sz w:val="20"/>
          <w:szCs w:val="20"/>
        </w:rPr>
      </w:pPr>
      <w:r>
        <w:rPr>
          <w:rFonts w:cs="Calibri"/>
          <w:sz w:val="20"/>
          <w:szCs w:val="20"/>
        </w:rPr>
      </w:r>
    </w:p>
    <w:tbl>
      <w:tblPr>
        <w:tblW w:w="8079" w:type="dxa"/>
        <w:jc w:val="left"/>
        <w:tblInd w:w="1214" w:type="dxa"/>
        <w:tblLayout w:type="fixed"/>
        <w:tblCellMar>
          <w:top w:w="0" w:type="dxa"/>
          <w:left w:w="108" w:type="dxa"/>
          <w:bottom w:w="0" w:type="dxa"/>
          <w:right w:w="108" w:type="dxa"/>
        </w:tblCellMar>
        <w:tblLook w:val="00a0"/>
      </w:tblPr>
      <w:tblGrid>
        <w:gridCol w:w="3116"/>
        <w:gridCol w:w="2481"/>
        <w:gridCol w:w="2482"/>
      </w:tblGrid>
      <w:tr>
        <w:trPr/>
        <w:tc>
          <w:tcPr>
            <w:tcW w:w="3116" w:type="dxa"/>
            <w:vMerge w:val="restart"/>
            <w:tcBorders>
              <w:top w:val="single" w:sz="4" w:space="0" w:color="000000"/>
              <w:left w:val="single" w:sz="4" w:space="0" w:color="000000"/>
              <w:bottom w:val="single" w:sz="4" w:space="0" w:color="000000"/>
              <w:right w:val="single" w:sz="4" w:space="0" w:color="000000"/>
            </w:tcBorders>
            <w:vAlign w:val="center"/>
          </w:tcPr>
          <w:p>
            <w:pPr>
              <w:pStyle w:val="Normal"/>
              <w:spacing w:lineRule="auto" w:line="240" w:before="0" w:after="0"/>
              <w:jc w:val="center"/>
              <w:rPr>
                <w:rFonts w:cs="Calibri"/>
                <w:b/>
                <w:sz w:val="16"/>
                <w:szCs w:val="16"/>
              </w:rPr>
            </w:pPr>
            <w:r>
              <w:rPr>
                <w:rFonts w:cs="Calibri"/>
                <w:b/>
                <w:sz w:val="16"/>
                <w:szCs w:val="16"/>
              </w:rPr>
              <w:t>Właściwość</w:t>
            </w:r>
          </w:p>
        </w:tc>
        <w:tc>
          <w:tcPr>
            <w:tcW w:w="4963" w:type="dxa"/>
            <w:gridSpan w:val="2"/>
            <w:tcBorders>
              <w:top w:val="single" w:sz="4" w:space="0" w:color="000000"/>
              <w:left w:val="single" w:sz="4" w:space="0" w:color="000000"/>
              <w:bottom w:val="single" w:sz="4" w:space="0" w:color="000000"/>
              <w:right w:val="single" w:sz="4" w:space="0" w:color="000000"/>
            </w:tcBorders>
            <w:vAlign w:val="center"/>
          </w:tcPr>
          <w:p>
            <w:pPr>
              <w:pStyle w:val="Normal"/>
              <w:spacing w:lineRule="auto" w:line="240" w:before="0" w:after="0"/>
              <w:ind w:left="34"/>
              <w:jc w:val="center"/>
              <w:rPr>
                <w:rFonts w:cs="Calibri"/>
                <w:b/>
                <w:sz w:val="16"/>
                <w:szCs w:val="16"/>
              </w:rPr>
            </w:pPr>
            <w:r>
              <w:rPr>
                <w:rFonts w:cs="Calibri"/>
                <w:b/>
                <w:sz w:val="16"/>
                <w:szCs w:val="16"/>
              </w:rPr>
              <w:t>Przesiew, [% (m/m)]</w:t>
            </w:r>
          </w:p>
        </w:tc>
      </w:tr>
      <w:tr>
        <w:trPr/>
        <w:tc>
          <w:tcPr>
            <w:tcW w:w="3116" w:type="dxa"/>
            <w:vMerge w:val="continue"/>
            <w:tcBorders>
              <w:top w:val="single" w:sz="4" w:space="0" w:color="000000"/>
              <w:left w:val="single" w:sz="4" w:space="0" w:color="000000"/>
              <w:bottom w:val="single" w:sz="4" w:space="0" w:color="000000"/>
              <w:right w:val="single" w:sz="4" w:space="0" w:color="000000"/>
            </w:tcBorders>
            <w:vAlign w:val="center"/>
          </w:tcPr>
          <w:p>
            <w:pPr>
              <w:pStyle w:val="Normal"/>
              <w:spacing w:lineRule="auto" w:line="240" w:before="0" w:after="0"/>
              <w:jc w:val="center"/>
              <w:rPr>
                <w:rFonts w:cs="Calibri"/>
                <w:b/>
                <w:sz w:val="16"/>
                <w:szCs w:val="16"/>
              </w:rPr>
            </w:pPr>
            <w:r>
              <w:rPr>
                <w:rFonts w:cs="Calibri"/>
                <w:b/>
                <w:sz w:val="16"/>
                <w:szCs w:val="16"/>
              </w:rPr>
            </w:r>
          </w:p>
        </w:tc>
        <w:tc>
          <w:tcPr>
            <w:tcW w:w="4963" w:type="dxa"/>
            <w:gridSpan w:val="2"/>
            <w:tcBorders>
              <w:top w:val="single" w:sz="4" w:space="0" w:color="000000"/>
              <w:left w:val="single" w:sz="4" w:space="0" w:color="000000"/>
              <w:bottom w:val="single" w:sz="4" w:space="0" w:color="000000"/>
              <w:right w:val="single" w:sz="4" w:space="0" w:color="000000"/>
            </w:tcBorders>
            <w:vAlign w:val="center"/>
          </w:tcPr>
          <w:p>
            <w:pPr>
              <w:pStyle w:val="Normal"/>
              <w:spacing w:lineRule="auto" w:line="240" w:before="0" w:after="0"/>
              <w:ind w:left="34"/>
              <w:jc w:val="center"/>
              <w:rPr>
                <w:rFonts w:cs="Calibri"/>
                <w:b/>
                <w:sz w:val="16"/>
                <w:szCs w:val="16"/>
              </w:rPr>
            </w:pPr>
            <w:r>
              <w:rPr>
                <w:rFonts w:cs="Calibri"/>
                <w:b/>
                <w:sz w:val="16"/>
                <w:szCs w:val="16"/>
              </w:rPr>
              <w:t>AC8S</w:t>
            </w:r>
          </w:p>
        </w:tc>
      </w:tr>
      <w:tr>
        <w:trPr/>
        <w:tc>
          <w:tcPr>
            <w:tcW w:w="3116" w:type="dxa"/>
            <w:tcBorders>
              <w:top w:val="single" w:sz="4" w:space="0" w:color="000000"/>
              <w:left w:val="single" w:sz="4" w:space="0" w:color="000000"/>
              <w:bottom w:val="single" w:sz="4" w:space="0" w:color="000000"/>
              <w:right w:val="single" w:sz="4" w:space="0" w:color="000000"/>
            </w:tcBorders>
            <w:vAlign w:val="center"/>
          </w:tcPr>
          <w:p>
            <w:pPr>
              <w:pStyle w:val="Normal"/>
              <w:spacing w:lineRule="auto" w:line="240" w:before="0" w:after="0"/>
              <w:jc w:val="center"/>
              <w:rPr>
                <w:rFonts w:cs="Calibri"/>
                <w:b/>
                <w:sz w:val="16"/>
                <w:szCs w:val="16"/>
              </w:rPr>
            </w:pPr>
            <w:r>
              <w:rPr>
                <w:rFonts w:cs="Calibri"/>
                <w:b/>
                <w:sz w:val="16"/>
                <w:szCs w:val="16"/>
              </w:rPr>
              <w:t>Wymiar sita #, [mm]</w:t>
            </w:r>
          </w:p>
        </w:tc>
        <w:tc>
          <w:tcPr>
            <w:tcW w:w="2481" w:type="dxa"/>
            <w:tcBorders>
              <w:top w:val="single" w:sz="4" w:space="0" w:color="000000"/>
              <w:left w:val="single" w:sz="4" w:space="0" w:color="000000"/>
              <w:bottom w:val="single" w:sz="4" w:space="0" w:color="000000"/>
              <w:right w:val="single" w:sz="4" w:space="0" w:color="000000"/>
            </w:tcBorders>
            <w:vAlign w:val="center"/>
          </w:tcPr>
          <w:p>
            <w:pPr>
              <w:pStyle w:val="Normal"/>
              <w:spacing w:lineRule="auto" w:line="240" w:before="0" w:after="0"/>
              <w:jc w:val="center"/>
              <w:rPr>
                <w:rFonts w:cs="Calibri"/>
                <w:b/>
                <w:sz w:val="16"/>
                <w:szCs w:val="16"/>
              </w:rPr>
            </w:pPr>
            <w:r>
              <w:rPr>
                <w:rFonts w:cs="Calibri"/>
                <w:b/>
                <w:sz w:val="16"/>
                <w:szCs w:val="16"/>
              </w:rPr>
              <w:t>od</w:t>
            </w:r>
          </w:p>
        </w:tc>
        <w:tc>
          <w:tcPr>
            <w:tcW w:w="2482" w:type="dxa"/>
            <w:tcBorders>
              <w:top w:val="single" w:sz="4" w:space="0" w:color="000000"/>
              <w:left w:val="single" w:sz="4" w:space="0" w:color="000000"/>
              <w:bottom w:val="single" w:sz="4" w:space="0" w:color="000000"/>
              <w:right w:val="single" w:sz="4" w:space="0" w:color="000000"/>
            </w:tcBorders>
            <w:vAlign w:val="center"/>
          </w:tcPr>
          <w:p>
            <w:pPr>
              <w:pStyle w:val="Normal"/>
              <w:spacing w:lineRule="auto" w:line="240" w:before="0" w:after="0"/>
              <w:jc w:val="center"/>
              <w:rPr>
                <w:rFonts w:cs="Calibri"/>
                <w:b/>
                <w:sz w:val="16"/>
                <w:szCs w:val="16"/>
              </w:rPr>
            </w:pPr>
            <w:r>
              <w:rPr>
                <w:rFonts w:cs="Calibri"/>
                <w:b/>
                <w:sz w:val="16"/>
                <w:szCs w:val="16"/>
              </w:rPr>
              <w:t>do</w:t>
            </w:r>
          </w:p>
        </w:tc>
      </w:tr>
      <w:tr>
        <w:trPr/>
        <w:tc>
          <w:tcPr>
            <w:tcW w:w="3116" w:type="dxa"/>
            <w:tcBorders>
              <w:top w:val="single" w:sz="4" w:space="0" w:color="000000"/>
              <w:left w:val="single" w:sz="4" w:space="0" w:color="000000"/>
              <w:bottom w:val="single" w:sz="4" w:space="0" w:color="000000"/>
              <w:right w:val="single" w:sz="4" w:space="0" w:color="000000"/>
            </w:tcBorders>
            <w:vAlign w:val="center"/>
          </w:tcPr>
          <w:p>
            <w:pPr>
              <w:pStyle w:val="Normal"/>
              <w:spacing w:lineRule="auto" w:line="240" w:before="0" w:after="0"/>
              <w:jc w:val="center"/>
              <w:rPr>
                <w:rFonts w:cs="Calibri"/>
                <w:sz w:val="16"/>
                <w:szCs w:val="16"/>
              </w:rPr>
            </w:pPr>
            <w:r>
              <w:rPr>
                <w:rFonts w:cs="Calibri"/>
                <w:sz w:val="16"/>
                <w:szCs w:val="16"/>
              </w:rPr>
              <w:t>11,2</w:t>
            </w:r>
          </w:p>
        </w:tc>
        <w:tc>
          <w:tcPr>
            <w:tcW w:w="2481" w:type="dxa"/>
            <w:tcBorders>
              <w:top w:val="single" w:sz="4" w:space="0" w:color="000000"/>
              <w:left w:val="single" w:sz="4" w:space="0" w:color="000000"/>
              <w:bottom w:val="single" w:sz="4" w:space="0" w:color="000000"/>
              <w:right w:val="single" w:sz="4" w:space="0" w:color="000000"/>
            </w:tcBorders>
            <w:vAlign w:val="center"/>
          </w:tcPr>
          <w:p>
            <w:pPr>
              <w:pStyle w:val="Normal"/>
              <w:spacing w:lineRule="auto" w:line="240" w:before="0" w:after="0"/>
              <w:jc w:val="center"/>
              <w:rPr>
                <w:rFonts w:cs="Calibri"/>
                <w:sz w:val="16"/>
                <w:szCs w:val="16"/>
              </w:rPr>
            </w:pPr>
            <w:r>
              <w:rPr>
                <w:rFonts w:cs="Calibri"/>
                <w:sz w:val="16"/>
                <w:szCs w:val="16"/>
              </w:rPr>
              <w:t>100</w:t>
            </w:r>
          </w:p>
        </w:tc>
        <w:tc>
          <w:tcPr>
            <w:tcW w:w="2482" w:type="dxa"/>
            <w:tcBorders>
              <w:top w:val="single" w:sz="4" w:space="0" w:color="000000"/>
              <w:left w:val="single" w:sz="4" w:space="0" w:color="000000"/>
              <w:bottom w:val="single" w:sz="4" w:space="0" w:color="000000"/>
              <w:right w:val="single" w:sz="4" w:space="0" w:color="000000"/>
            </w:tcBorders>
            <w:vAlign w:val="center"/>
          </w:tcPr>
          <w:p>
            <w:pPr>
              <w:pStyle w:val="Normal"/>
              <w:spacing w:lineRule="auto" w:line="240" w:before="0" w:after="0"/>
              <w:jc w:val="center"/>
              <w:rPr>
                <w:rFonts w:cs="Calibri"/>
                <w:sz w:val="16"/>
                <w:szCs w:val="16"/>
              </w:rPr>
            </w:pPr>
            <w:r>
              <w:rPr>
                <w:rFonts w:cs="Calibri"/>
                <w:sz w:val="16"/>
                <w:szCs w:val="16"/>
              </w:rPr>
            </w:r>
          </w:p>
        </w:tc>
      </w:tr>
      <w:tr>
        <w:trPr/>
        <w:tc>
          <w:tcPr>
            <w:tcW w:w="3116" w:type="dxa"/>
            <w:tcBorders>
              <w:top w:val="single" w:sz="4" w:space="0" w:color="000000"/>
              <w:left w:val="single" w:sz="4" w:space="0" w:color="000000"/>
              <w:bottom w:val="single" w:sz="4" w:space="0" w:color="000000"/>
              <w:right w:val="single" w:sz="4" w:space="0" w:color="000000"/>
            </w:tcBorders>
            <w:vAlign w:val="center"/>
          </w:tcPr>
          <w:p>
            <w:pPr>
              <w:pStyle w:val="Normal"/>
              <w:spacing w:lineRule="auto" w:line="240" w:before="0" w:after="0"/>
              <w:jc w:val="center"/>
              <w:rPr>
                <w:rFonts w:cs="Calibri"/>
                <w:sz w:val="16"/>
                <w:szCs w:val="16"/>
              </w:rPr>
            </w:pPr>
            <w:r>
              <w:rPr>
                <w:rFonts w:cs="Calibri"/>
                <w:sz w:val="16"/>
                <w:szCs w:val="16"/>
              </w:rPr>
              <w:t>8</w:t>
            </w:r>
          </w:p>
        </w:tc>
        <w:tc>
          <w:tcPr>
            <w:tcW w:w="2481" w:type="dxa"/>
            <w:tcBorders>
              <w:top w:val="single" w:sz="4" w:space="0" w:color="000000"/>
              <w:left w:val="single" w:sz="4" w:space="0" w:color="000000"/>
              <w:bottom w:val="single" w:sz="4" w:space="0" w:color="000000"/>
              <w:right w:val="single" w:sz="4" w:space="0" w:color="000000"/>
            </w:tcBorders>
            <w:vAlign w:val="center"/>
          </w:tcPr>
          <w:p>
            <w:pPr>
              <w:pStyle w:val="Normal"/>
              <w:spacing w:lineRule="auto" w:line="240" w:before="0" w:after="0"/>
              <w:jc w:val="center"/>
              <w:rPr>
                <w:rFonts w:cs="Calibri"/>
                <w:sz w:val="16"/>
                <w:szCs w:val="16"/>
              </w:rPr>
            </w:pPr>
            <w:r>
              <w:rPr>
                <w:rFonts w:cs="Calibri"/>
                <w:sz w:val="16"/>
                <w:szCs w:val="16"/>
              </w:rPr>
              <w:t>90</w:t>
            </w:r>
          </w:p>
        </w:tc>
        <w:tc>
          <w:tcPr>
            <w:tcW w:w="2482" w:type="dxa"/>
            <w:tcBorders>
              <w:top w:val="single" w:sz="4" w:space="0" w:color="000000"/>
              <w:left w:val="single" w:sz="4" w:space="0" w:color="000000"/>
              <w:bottom w:val="single" w:sz="4" w:space="0" w:color="000000"/>
              <w:right w:val="single" w:sz="4" w:space="0" w:color="000000"/>
            </w:tcBorders>
            <w:vAlign w:val="center"/>
          </w:tcPr>
          <w:p>
            <w:pPr>
              <w:pStyle w:val="Normal"/>
              <w:spacing w:lineRule="auto" w:line="240" w:before="0" w:after="0"/>
              <w:jc w:val="center"/>
              <w:rPr>
                <w:rFonts w:cs="Calibri"/>
                <w:sz w:val="16"/>
                <w:szCs w:val="16"/>
              </w:rPr>
            </w:pPr>
            <w:r>
              <w:rPr>
                <w:rFonts w:cs="Calibri"/>
                <w:sz w:val="16"/>
                <w:szCs w:val="16"/>
              </w:rPr>
              <w:t>100</w:t>
            </w:r>
          </w:p>
        </w:tc>
      </w:tr>
      <w:tr>
        <w:trPr/>
        <w:tc>
          <w:tcPr>
            <w:tcW w:w="3116" w:type="dxa"/>
            <w:tcBorders>
              <w:top w:val="single" w:sz="4" w:space="0" w:color="000000"/>
              <w:left w:val="single" w:sz="4" w:space="0" w:color="000000"/>
              <w:bottom w:val="single" w:sz="4" w:space="0" w:color="000000"/>
              <w:right w:val="single" w:sz="4" w:space="0" w:color="000000"/>
            </w:tcBorders>
            <w:vAlign w:val="center"/>
          </w:tcPr>
          <w:p>
            <w:pPr>
              <w:pStyle w:val="Normal"/>
              <w:spacing w:lineRule="auto" w:line="240" w:before="0" w:after="0"/>
              <w:jc w:val="center"/>
              <w:rPr>
                <w:rFonts w:cs="Calibri"/>
                <w:sz w:val="16"/>
                <w:szCs w:val="16"/>
              </w:rPr>
            </w:pPr>
            <w:r>
              <w:rPr>
                <w:rFonts w:cs="Calibri"/>
                <w:sz w:val="16"/>
                <w:szCs w:val="16"/>
              </w:rPr>
              <w:t>5,6</w:t>
            </w:r>
          </w:p>
        </w:tc>
        <w:tc>
          <w:tcPr>
            <w:tcW w:w="2481" w:type="dxa"/>
            <w:tcBorders>
              <w:top w:val="single" w:sz="4" w:space="0" w:color="000000"/>
              <w:left w:val="single" w:sz="4" w:space="0" w:color="000000"/>
              <w:bottom w:val="single" w:sz="4" w:space="0" w:color="000000"/>
              <w:right w:val="single" w:sz="4" w:space="0" w:color="000000"/>
            </w:tcBorders>
            <w:vAlign w:val="center"/>
          </w:tcPr>
          <w:p>
            <w:pPr>
              <w:pStyle w:val="Normal"/>
              <w:spacing w:lineRule="auto" w:line="240" w:before="0" w:after="0"/>
              <w:jc w:val="center"/>
              <w:rPr>
                <w:rFonts w:cs="Calibri"/>
                <w:sz w:val="16"/>
                <w:szCs w:val="16"/>
              </w:rPr>
            </w:pPr>
            <w:r>
              <w:rPr>
                <w:rFonts w:cs="Calibri"/>
                <w:sz w:val="16"/>
                <w:szCs w:val="16"/>
              </w:rPr>
              <w:t>70</w:t>
            </w:r>
          </w:p>
        </w:tc>
        <w:tc>
          <w:tcPr>
            <w:tcW w:w="2482" w:type="dxa"/>
            <w:tcBorders>
              <w:top w:val="single" w:sz="4" w:space="0" w:color="000000"/>
              <w:left w:val="single" w:sz="4" w:space="0" w:color="000000"/>
              <w:bottom w:val="single" w:sz="4" w:space="0" w:color="000000"/>
              <w:right w:val="single" w:sz="4" w:space="0" w:color="000000"/>
            </w:tcBorders>
            <w:vAlign w:val="center"/>
          </w:tcPr>
          <w:p>
            <w:pPr>
              <w:pStyle w:val="Normal"/>
              <w:spacing w:lineRule="auto" w:line="240" w:before="0" w:after="0"/>
              <w:jc w:val="center"/>
              <w:rPr>
                <w:rFonts w:cs="Calibri"/>
                <w:sz w:val="16"/>
                <w:szCs w:val="16"/>
              </w:rPr>
            </w:pPr>
            <w:r>
              <w:rPr>
                <w:rFonts w:cs="Calibri"/>
                <w:sz w:val="16"/>
                <w:szCs w:val="16"/>
              </w:rPr>
              <w:t>90</w:t>
            </w:r>
          </w:p>
        </w:tc>
      </w:tr>
      <w:tr>
        <w:trPr/>
        <w:tc>
          <w:tcPr>
            <w:tcW w:w="3116" w:type="dxa"/>
            <w:tcBorders>
              <w:top w:val="single" w:sz="4" w:space="0" w:color="000000"/>
              <w:left w:val="single" w:sz="4" w:space="0" w:color="000000"/>
              <w:bottom w:val="single" w:sz="4" w:space="0" w:color="000000"/>
              <w:right w:val="single" w:sz="4" w:space="0" w:color="000000"/>
            </w:tcBorders>
            <w:vAlign w:val="center"/>
          </w:tcPr>
          <w:p>
            <w:pPr>
              <w:pStyle w:val="Normal"/>
              <w:spacing w:lineRule="auto" w:line="240" w:before="0" w:after="0"/>
              <w:jc w:val="center"/>
              <w:rPr>
                <w:rFonts w:cs="Calibri"/>
                <w:sz w:val="16"/>
                <w:szCs w:val="16"/>
              </w:rPr>
            </w:pPr>
            <w:r>
              <w:rPr>
                <w:rFonts w:cs="Calibri"/>
                <w:sz w:val="16"/>
                <w:szCs w:val="16"/>
              </w:rPr>
              <w:t>2,</w:t>
            </w:r>
          </w:p>
        </w:tc>
        <w:tc>
          <w:tcPr>
            <w:tcW w:w="2481" w:type="dxa"/>
            <w:tcBorders>
              <w:top w:val="single" w:sz="4" w:space="0" w:color="000000"/>
              <w:left w:val="single" w:sz="4" w:space="0" w:color="000000"/>
              <w:bottom w:val="single" w:sz="4" w:space="0" w:color="000000"/>
              <w:right w:val="single" w:sz="4" w:space="0" w:color="000000"/>
            </w:tcBorders>
            <w:vAlign w:val="center"/>
          </w:tcPr>
          <w:p>
            <w:pPr>
              <w:pStyle w:val="Normal"/>
              <w:spacing w:lineRule="auto" w:line="240" w:before="0" w:after="0"/>
              <w:jc w:val="center"/>
              <w:rPr>
                <w:rFonts w:cs="Calibri"/>
                <w:sz w:val="16"/>
                <w:szCs w:val="16"/>
              </w:rPr>
            </w:pPr>
            <w:r>
              <w:rPr>
                <w:rFonts w:cs="Calibri"/>
                <w:sz w:val="16"/>
                <w:szCs w:val="16"/>
              </w:rPr>
              <w:t>45</w:t>
            </w:r>
          </w:p>
        </w:tc>
        <w:tc>
          <w:tcPr>
            <w:tcW w:w="2482" w:type="dxa"/>
            <w:tcBorders>
              <w:top w:val="single" w:sz="4" w:space="0" w:color="000000"/>
              <w:left w:val="single" w:sz="4" w:space="0" w:color="000000"/>
              <w:bottom w:val="single" w:sz="4" w:space="0" w:color="000000"/>
              <w:right w:val="single" w:sz="4" w:space="0" w:color="000000"/>
            </w:tcBorders>
            <w:vAlign w:val="center"/>
          </w:tcPr>
          <w:p>
            <w:pPr>
              <w:pStyle w:val="Normal"/>
              <w:spacing w:lineRule="auto" w:line="240" w:before="0" w:after="0"/>
              <w:jc w:val="center"/>
              <w:rPr>
                <w:rFonts w:cs="Calibri"/>
                <w:sz w:val="16"/>
                <w:szCs w:val="16"/>
              </w:rPr>
            </w:pPr>
            <w:r>
              <w:rPr>
                <w:rFonts w:cs="Calibri"/>
                <w:sz w:val="16"/>
                <w:szCs w:val="16"/>
              </w:rPr>
              <w:t>65</w:t>
            </w:r>
          </w:p>
        </w:tc>
      </w:tr>
      <w:tr>
        <w:trPr/>
        <w:tc>
          <w:tcPr>
            <w:tcW w:w="3116" w:type="dxa"/>
            <w:tcBorders>
              <w:top w:val="single" w:sz="4" w:space="0" w:color="000000"/>
              <w:left w:val="single" w:sz="4" w:space="0" w:color="000000"/>
              <w:bottom w:val="single" w:sz="4" w:space="0" w:color="000000"/>
              <w:right w:val="single" w:sz="4" w:space="0" w:color="000000"/>
            </w:tcBorders>
            <w:vAlign w:val="center"/>
          </w:tcPr>
          <w:p>
            <w:pPr>
              <w:pStyle w:val="Normal"/>
              <w:spacing w:lineRule="auto" w:line="240" w:before="0" w:after="0"/>
              <w:jc w:val="center"/>
              <w:rPr>
                <w:rFonts w:cs="Calibri"/>
                <w:sz w:val="16"/>
                <w:szCs w:val="16"/>
              </w:rPr>
            </w:pPr>
            <w:r>
              <w:rPr>
                <w:rFonts w:cs="Calibri"/>
                <w:sz w:val="16"/>
                <w:szCs w:val="16"/>
              </w:rPr>
              <w:t>0,125</w:t>
            </w:r>
          </w:p>
        </w:tc>
        <w:tc>
          <w:tcPr>
            <w:tcW w:w="2481" w:type="dxa"/>
            <w:tcBorders>
              <w:top w:val="single" w:sz="4" w:space="0" w:color="000000"/>
              <w:left w:val="single" w:sz="4" w:space="0" w:color="000000"/>
              <w:bottom w:val="single" w:sz="4" w:space="0" w:color="000000"/>
              <w:right w:val="single" w:sz="4" w:space="0" w:color="000000"/>
            </w:tcBorders>
            <w:vAlign w:val="center"/>
          </w:tcPr>
          <w:p>
            <w:pPr>
              <w:pStyle w:val="Normal"/>
              <w:spacing w:lineRule="auto" w:line="240" w:before="0" w:after="0"/>
              <w:jc w:val="center"/>
              <w:rPr>
                <w:rFonts w:cs="Calibri"/>
                <w:sz w:val="16"/>
                <w:szCs w:val="16"/>
              </w:rPr>
            </w:pPr>
            <w:r>
              <w:rPr>
                <w:rFonts w:cs="Calibri"/>
                <w:sz w:val="16"/>
                <w:szCs w:val="16"/>
              </w:rPr>
              <w:t>8</w:t>
            </w:r>
          </w:p>
        </w:tc>
        <w:tc>
          <w:tcPr>
            <w:tcW w:w="2482" w:type="dxa"/>
            <w:tcBorders>
              <w:top w:val="single" w:sz="4" w:space="0" w:color="000000"/>
              <w:left w:val="single" w:sz="4" w:space="0" w:color="000000"/>
              <w:bottom w:val="single" w:sz="4" w:space="0" w:color="000000"/>
              <w:right w:val="single" w:sz="4" w:space="0" w:color="000000"/>
            </w:tcBorders>
            <w:vAlign w:val="center"/>
          </w:tcPr>
          <w:p>
            <w:pPr>
              <w:pStyle w:val="Normal"/>
              <w:spacing w:lineRule="auto" w:line="240" w:before="0" w:after="0"/>
              <w:jc w:val="center"/>
              <w:rPr>
                <w:rFonts w:cs="Calibri"/>
                <w:sz w:val="16"/>
                <w:szCs w:val="16"/>
              </w:rPr>
            </w:pPr>
            <w:r>
              <w:rPr>
                <w:rFonts w:cs="Calibri"/>
                <w:sz w:val="16"/>
                <w:szCs w:val="16"/>
              </w:rPr>
              <w:t>20</w:t>
            </w:r>
          </w:p>
        </w:tc>
      </w:tr>
      <w:tr>
        <w:trPr/>
        <w:tc>
          <w:tcPr>
            <w:tcW w:w="3116" w:type="dxa"/>
            <w:tcBorders>
              <w:top w:val="single" w:sz="4" w:space="0" w:color="000000"/>
              <w:left w:val="single" w:sz="4" w:space="0" w:color="000000"/>
              <w:bottom w:val="single" w:sz="4" w:space="0" w:color="000000"/>
              <w:right w:val="single" w:sz="4" w:space="0" w:color="000000"/>
            </w:tcBorders>
            <w:vAlign w:val="center"/>
          </w:tcPr>
          <w:p>
            <w:pPr>
              <w:pStyle w:val="Normal"/>
              <w:spacing w:lineRule="auto" w:line="240" w:before="0" w:after="0"/>
              <w:jc w:val="center"/>
              <w:rPr>
                <w:rFonts w:cs="Calibri"/>
                <w:sz w:val="16"/>
                <w:szCs w:val="16"/>
              </w:rPr>
            </w:pPr>
            <w:r>
              <w:rPr>
                <w:rFonts w:cs="Calibri"/>
                <w:sz w:val="16"/>
                <w:szCs w:val="16"/>
              </w:rPr>
              <w:t>0,063</w:t>
            </w:r>
          </w:p>
        </w:tc>
        <w:tc>
          <w:tcPr>
            <w:tcW w:w="2481" w:type="dxa"/>
            <w:tcBorders>
              <w:top w:val="single" w:sz="4" w:space="0" w:color="000000"/>
              <w:left w:val="single" w:sz="4" w:space="0" w:color="000000"/>
              <w:bottom w:val="single" w:sz="4" w:space="0" w:color="000000"/>
              <w:right w:val="single" w:sz="4" w:space="0" w:color="000000"/>
            </w:tcBorders>
            <w:vAlign w:val="center"/>
          </w:tcPr>
          <w:p>
            <w:pPr>
              <w:pStyle w:val="Normal"/>
              <w:spacing w:lineRule="auto" w:line="240" w:before="0" w:after="0"/>
              <w:jc w:val="center"/>
              <w:rPr>
                <w:rFonts w:cs="Calibri"/>
                <w:sz w:val="16"/>
                <w:szCs w:val="16"/>
              </w:rPr>
            </w:pPr>
            <w:r>
              <w:rPr>
                <w:rFonts w:cs="Calibri"/>
                <w:sz w:val="16"/>
                <w:szCs w:val="16"/>
              </w:rPr>
              <w:t>6</w:t>
            </w:r>
          </w:p>
        </w:tc>
        <w:tc>
          <w:tcPr>
            <w:tcW w:w="2482" w:type="dxa"/>
            <w:tcBorders>
              <w:top w:val="single" w:sz="4" w:space="0" w:color="000000"/>
              <w:left w:val="single" w:sz="4" w:space="0" w:color="000000"/>
              <w:bottom w:val="single" w:sz="4" w:space="0" w:color="000000"/>
              <w:right w:val="single" w:sz="4" w:space="0" w:color="000000"/>
            </w:tcBorders>
            <w:vAlign w:val="center"/>
          </w:tcPr>
          <w:p>
            <w:pPr>
              <w:pStyle w:val="Normal"/>
              <w:spacing w:lineRule="auto" w:line="240" w:before="0" w:after="0"/>
              <w:jc w:val="center"/>
              <w:rPr>
                <w:rFonts w:cs="Calibri"/>
                <w:sz w:val="16"/>
                <w:szCs w:val="16"/>
              </w:rPr>
            </w:pPr>
            <w:r>
              <w:rPr>
                <w:rFonts w:cs="Calibri"/>
                <w:sz w:val="16"/>
                <w:szCs w:val="16"/>
              </w:rPr>
              <w:t>12,0</w:t>
            </w:r>
          </w:p>
        </w:tc>
      </w:tr>
      <w:tr>
        <w:trPr/>
        <w:tc>
          <w:tcPr>
            <w:tcW w:w="3116" w:type="dxa"/>
            <w:tcBorders>
              <w:top w:val="single" w:sz="4" w:space="0" w:color="000000"/>
              <w:left w:val="single" w:sz="4" w:space="0" w:color="000000"/>
              <w:bottom w:val="single" w:sz="4" w:space="0" w:color="000000"/>
              <w:right w:val="single" w:sz="4" w:space="0" w:color="000000"/>
            </w:tcBorders>
            <w:vAlign w:val="center"/>
          </w:tcPr>
          <w:p>
            <w:pPr>
              <w:pStyle w:val="Normal"/>
              <w:spacing w:lineRule="auto" w:line="240" w:before="0" w:after="0"/>
              <w:jc w:val="center"/>
              <w:rPr>
                <w:rFonts w:cs="Calibri"/>
                <w:sz w:val="16"/>
                <w:szCs w:val="16"/>
              </w:rPr>
            </w:pPr>
            <w:r>
              <w:rPr>
                <w:rFonts w:cs="Calibri"/>
                <w:sz w:val="16"/>
                <w:szCs w:val="16"/>
              </w:rPr>
              <w:t xml:space="preserve">Zawartość lepiszcza, minimum </w:t>
            </w:r>
            <w:r>
              <w:rPr>
                <w:rFonts w:cs="Calibri"/>
                <w:sz w:val="16"/>
                <w:szCs w:val="16"/>
                <w:vertAlign w:val="superscript"/>
              </w:rPr>
              <w:t>*)</w:t>
            </w:r>
          </w:p>
        </w:tc>
        <w:tc>
          <w:tcPr>
            <w:tcW w:w="4963" w:type="dxa"/>
            <w:gridSpan w:val="2"/>
            <w:tcBorders>
              <w:top w:val="single" w:sz="4" w:space="0" w:color="000000"/>
              <w:left w:val="single" w:sz="4" w:space="0" w:color="000000"/>
              <w:bottom w:val="single" w:sz="4" w:space="0" w:color="000000"/>
              <w:right w:val="single" w:sz="4" w:space="0" w:color="000000"/>
            </w:tcBorders>
            <w:vAlign w:val="center"/>
          </w:tcPr>
          <w:p>
            <w:pPr>
              <w:pStyle w:val="Normal"/>
              <w:spacing w:lineRule="auto" w:line="240" w:before="0" w:after="0"/>
              <w:jc w:val="center"/>
              <w:rPr>
                <w:rFonts w:cs="Calibri"/>
                <w:sz w:val="16"/>
                <w:szCs w:val="16"/>
              </w:rPr>
            </w:pPr>
            <w:r>
              <w:rPr>
                <w:rFonts w:cs="Calibri"/>
                <w:sz w:val="16"/>
                <w:szCs w:val="16"/>
              </w:rPr>
              <w:t>B</w:t>
            </w:r>
            <w:r>
              <w:rPr>
                <w:rFonts w:cs="Calibri"/>
                <w:sz w:val="16"/>
                <w:szCs w:val="16"/>
                <w:vertAlign w:val="subscript"/>
              </w:rPr>
              <w:t>min 5,80</w:t>
            </w:r>
          </w:p>
        </w:tc>
      </w:tr>
    </w:tbl>
    <w:p>
      <w:pPr>
        <w:pStyle w:val="Normal"/>
        <w:spacing w:lineRule="auto" w:line="240" w:before="0" w:after="0"/>
        <w:ind w:left="364"/>
        <w:jc w:val="both"/>
        <w:rPr>
          <w:rFonts w:cs="Calibri"/>
          <w:sz w:val="20"/>
          <w:szCs w:val="20"/>
        </w:rPr>
      </w:pPr>
      <w:r>
        <w:rPr>
          <w:rFonts w:cs="Calibri"/>
          <w:sz w:val="20"/>
          <w:szCs w:val="20"/>
        </w:rPr>
      </w:r>
    </w:p>
    <w:p>
      <w:pPr>
        <w:pStyle w:val="Normal"/>
        <w:spacing w:lineRule="auto" w:line="240" w:before="0" w:after="0"/>
        <w:ind w:left="364"/>
        <w:jc w:val="both"/>
        <w:rPr>
          <w:rFonts w:cs="Calibri"/>
          <w:i/>
          <w:i/>
          <w:sz w:val="18"/>
          <w:szCs w:val="20"/>
        </w:rPr>
      </w:pPr>
      <w:r>
        <w:rPr>
          <w:rFonts w:cs="Calibri"/>
          <w:i/>
          <w:sz w:val="18"/>
          <w:szCs w:val="20"/>
        </w:rPr>
        <w:t>Tablica 8. Wymagane właściwości mieszanki mineralno-asfaltowej do warstwy ścieralnej, dla ruchu KR1÷ KR2 [65]</w:t>
      </w:r>
    </w:p>
    <w:p>
      <w:pPr>
        <w:pStyle w:val="Normal"/>
        <w:spacing w:lineRule="auto" w:line="240" w:before="0" w:after="0"/>
        <w:ind w:left="364"/>
        <w:jc w:val="both"/>
        <w:rPr>
          <w:rFonts w:cs="Calibri"/>
          <w:sz w:val="20"/>
          <w:szCs w:val="20"/>
        </w:rPr>
      </w:pPr>
      <w:r>
        <w:rPr>
          <w:rFonts w:cs="Calibri"/>
          <w:sz w:val="20"/>
          <w:szCs w:val="20"/>
        </w:rPr>
      </w:r>
    </w:p>
    <w:p>
      <w:pPr>
        <w:pStyle w:val="Normal"/>
        <w:spacing w:lineRule="auto" w:line="240" w:before="0" w:after="0"/>
        <w:ind w:left="364"/>
        <w:jc w:val="center"/>
        <w:rPr>
          <w:rFonts w:cs="Calibri"/>
          <w:sz w:val="20"/>
          <w:szCs w:val="20"/>
        </w:rPr>
      </w:pPr>
      <w:r>
        <w:rPr/>
        <w:drawing>
          <wp:inline distT="0" distB="0" distL="0" distR="0">
            <wp:extent cx="5048250" cy="2686050"/>
            <wp:effectExtent l="0" t="0" r="0" b="0"/>
            <wp:docPr id="2" name="Obraz2"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Obraz2" descr=""/>
                    <pic:cNvPicPr>
                      <a:picLocks noChangeAspect="1" noChangeArrowheads="1"/>
                    </pic:cNvPicPr>
                  </pic:nvPicPr>
                  <pic:blipFill>
                    <a:blip r:embed="rId3"/>
                    <a:stretch>
                      <a:fillRect/>
                    </a:stretch>
                  </pic:blipFill>
                  <pic:spPr bwMode="auto">
                    <a:xfrm>
                      <a:off x="0" y="0"/>
                      <a:ext cx="5048250" cy="2686050"/>
                    </a:xfrm>
                    <a:prstGeom prst="rect">
                      <a:avLst/>
                    </a:prstGeom>
                  </pic:spPr>
                </pic:pic>
              </a:graphicData>
            </a:graphic>
          </wp:inline>
        </w:drawing>
      </w:r>
    </w:p>
    <w:p>
      <w:pPr>
        <w:pStyle w:val="Normal"/>
        <w:spacing w:lineRule="auto" w:line="240" w:before="0" w:after="0"/>
        <w:ind w:left="364"/>
        <w:jc w:val="both"/>
        <w:rPr>
          <w:rFonts w:cs="Calibri"/>
          <w:sz w:val="20"/>
          <w:szCs w:val="20"/>
        </w:rPr>
      </w:pPr>
      <w:r>
        <w:rPr>
          <w:rFonts w:cs="Calibri"/>
          <w:sz w:val="20"/>
          <w:szCs w:val="20"/>
        </w:rPr>
      </w:r>
    </w:p>
    <w:p>
      <w:pPr>
        <w:pStyle w:val="Normal"/>
        <w:spacing w:lineRule="auto" w:line="240" w:before="0" w:after="0"/>
        <w:jc w:val="both"/>
        <w:rPr>
          <w:rFonts w:cs="Calibri"/>
          <w:sz w:val="20"/>
          <w:szCs w:val="20"/>
        </w:rPr>
      </w:pPr>
      <w:r>
        <w:rPr>
          <w:rFonts w:cs="Calibri"/>
          <w:sz w:val="20"/>
          <w:szCs w:val="20"/>
        </w:rPr>
        <w:t>5.3. Wytwarzanie mieszanki mineralno-asfaltowej</w:t>
      </w:r>
    </w:p>
    <w:p>
      <w:pPr>
        <w:pStyle w:val="Normal"/>
        <w:spacing w:lineRule="auto" w:line="240" w:before="0" w:after="0"/>
        <w:ind w:left="364"/>
        <w:jc w:val="both"/>
        <w:rPr>
          <w:rFonts w:cs="Calibri"/>
          <w:sz w:val="20"/>
          <w:szCs w:val="20"/>
        </w:rPr>
      </w:pPr>
      <w:r>
        <w:rPr>
          <w:rFonts w:cs="Calibri"/>
          <w:sz w:val="20"/>
          <w:szCs w:val="20"/>
        </w:rPr>
        <w:t>Mieszankę mineralno-asfaltową należy wytwarzać na gorąco w otaczarce (zespole maszyn i urządzeń dozowania, podgrzewania i mieszania składników oraz przechowywania gotowej mieszanki).</w:t>
      </w:r>
    </w:p>
    <w:p>
      <w:pPr>
        <w:pStyle w:val="Normal"/>
        <w:spacing w:lineRule="auto" w:line="240" w:before="0" w:after="0"/>
        <w:ind w:left="364"/>
        <w:jc w:val="both"/>
        <w:rPr>
          <w:rFonts w:cs="Calibri"/>
          <w:sz w:val="20"/>
          <w:szCs w:val="20"/>
        </w:rPr>
      </w:pPr>
      <w:r>
        <w:rPr>
          <w:rFonts w:cs="Calibri"/>
          <w:sz w:val="20"/>
          <w:szCs w:val="20"/>
        </w:rPr>
        <w:t xml:space="preserve">Dozowanie składników mieszanki mineralno-asfaltowej w otaczarkach, w tym także wstępne, powinno być zautomatyzowane i zgodne z receptą roboczą, a urządzenia do dozowania składników oraz pomiaru temperatury powinny być okresowo sprawdzane. Kruszywo o różnym uziarnieniu lub pochodzeniu należy dodawać odmierzone oddzielnie.  </w:t>
      </w:r>
    </w:p>
    <w:p>
      <w:pPr>
        <w:pStyle w:val="Normal"/>
        <w:spacing w:lineRule="auto" w:line="240" w:before="0" w:after="0"/>
        <w:ind w:left="364"/>
        <w:jc w:val="both"/>
        <w:rPr>
          <w:rFonts w:cs="Calibri"/>
          <w:sz w:val="20"/>
          <w:szCs w:val="20"/>
        </w:rPr>
      </w:pPr>
      <w:r>
        <w:rPr>
          <w:rFonts w:cs="Calibri"/>
          <w:sz w:val="20"/>
          <w:szCs w:val="20"/>
        </w:rPr>
        <w:t>Lepiszcze asfaltowe należy przechowywać w zbiorniku z pośrednim systemem ogrzewania, z układem termostatowania zapewniającym utrzymanie żądanej temperatury z dokładnością ± 5°C. Temperatura lepiszcza asfaltowego w zbiorniku magazynowym (roboczym) nie może przekraczać 180°C dla asfaltu drogowego 50/70</w:t>
        <w:br/>
        <w:t>i 70/100 i polimeroasfaltu drogowego 45/80-55 i 45/80-65.</w:t>
      </w:r>
    </w:p>
    <w:p>
      <w:pPr>
        <w:pStyle w:val="Normal"/>
        <w:spacing w:lineRule="auto" w:line="240" w:before="0" w:after="0"/>
        <w:ind w:left="364"/>
        <w:jc w:val="both"/>
        <w:rPr>
          <w:rFonts w:cs="Calibri"/>
          <w:sz w:val="20"/>
          <w:szCs w:val="20"/>
        </w:rPr>
      </w:pPr>
      <w:r>
        <w:rPr>
          <w:rFonts w:cs="Calibri"/>
          <w:sz w:val="20"/>
          <w:szCs w:val="20"/>
        </w:rPr>
        <w:t>Kruszywo (ewentualnie z wypełniaczem) powinno być wysuszone i podgrzane tak, aby mieszanka mineralna uzyskała temperaturę właściwą do otoczenia lepiszczem asfaltowym. Temperatura mieszanki mineralnej nie powinna być wyższa o więcej niż 30oC od najwyższej temperatury mieszanki mineralnoasfaltowej podanej</w:t>
        <w:br/>
        <w:t xml:space="preserve">w tablicy 11. W tej tablicy najniższa temperatura dotyczy mieszanki mineralno-asfaltowej dostarczonej na miejsce wbudowania, a najwyższa temperatura dotyczy mieszanki mineralno-asfaltowej bezpośrednio po wytworzeniu </w:t>
        <w:br/>
        <w:t>w wytwórni.</w:t>
      </w:r>
    </w:p>
    <w:p>
      <w:pPr>
        <w:pStyle w:val="Normal"/>
        <w:spacing w:lineRule="auto" w:line="240" w:before="0" w:after="0"/>
        <w:ind w:left="364"/>
        <w:jc w:val="both"/>
        <w:rPr>
          <w:rFonts w:cs="Calibri"/>
          <w:sz w:val="20"/>
          <w:szCs w:val="20"/>
        </w:rPr>
      </w:pPr>
      <w:r>
        <w:rPr>
          <w:rFonts w:cs="Calibri"/>
          <w:sz w:val="20"/>
          <w:szCs w:val="20"/>
        </w:rPr>
      </w:r>
    </w:p>
    <w:p>
      <w:pPr>
        <w:pStyle w:val="Normal"/>
        <w:spacing w:lineRule="auto" w:line="240" w:before="0" w:after="0"/>
        <w:ind w:left="364"/>
        <w:jc w:val="both"/>
        <w:rPr>
          <w:rFonts w:cs="Calibri"/>
          <w:sz w:val="20"/>
          <w:szCs w:val="20"/>
        </w:rPr>
      </w:pPr>
      <w:r>
        <w:rPr>
          <w:rFonts w:cs="Calibri"/>
          <w:sz w:val="20"/>
          <w:szCs w:val="20"/>
        </w:rPr>
      </w:r>
    </w:p>
    <w:p>
      <w:pPr>
        <w:pStyle w:val="Normal"/>
        <w:spacing w:lineRule="auto" w:line="240" w:before="0" w:after="0"/>
        <w:ind w:left="364"/>
        <w:jc w:val="both"/>
        <w:rPr>
          <w:rFonts w:cs="Calibri"/>
          <w:i/>
          <w:i/>
          <w:sz w:val="18"/>
          <w:szCs w:val="20"/>
        </w:rPr>
      </w:pPr>
      <w:r>
        <w:rPr>
          <w:rFonts w:cs="Calibri"/>
          <w:i/>
          <w:sz w:val="18"/>
          <w:szCs w:val="20"/>
        </w:rPr>
        <w:t>Tablica 11. Najwyższa i najniższa temperatura mieszanki AC 8S dla asfaltu 50/70 to 140-180[°C]</w:t>
      </w:r>
    </w:p>
    <w:p>
      <w:pPr>
        <w:pStyle w:val="Normal"/>
        <w:spacing w:lineRule="auto" w:line="240" w:before="0" w:after="0"/>
        <w:ind w:left="364"/>
        <w:jc w:val="both"/>
        <w:rPr>
          <w:rFonts w:cs="Calibri"/>
          <w:sz w:val="20"/>
          <w:szCs w:val="20"/>
        </w:rPr>
      </w:pPr>
      <w:r>
        <w:rPr>
          <w:rFonts w:cs="Calibri"/>
          <w:sz w:val="20"/>
          <w:szCs w:val="20"/>
        </w:rPr>
      </w:r>
    </w:p>
    <w:p>
      <w:pPr>
        <w:pStyle w:val="Normal"/>
        <w:spacing w:lineRule="auto" w:line="240" w:before="0" w:after="0"/>
        <w:ind w:left="364"/>
        <w:jc w:val="both"/>
        <w:rPr>
          <w:rFonts w:cs="Calibri"/>
          <w:sz w:val="20"/>
          <w:szCs w:val="20"/>
        </w:rPr>
      </w:pPr>
      <w:r>
        <w:rPr>
          <w:rFonts w:cs="Calibri"/>
          <w:sz w:val="20"/>
          <w:szCs w:val="20"/>
        </w:rPr>
        <w:t>Sposób i czas mieszania składników mieszanki mineralno-asfaltowej powinny zapewnić równomierne otoczenie kruszywa lepiszczem asfaltowym.</w:t>
      </w:r>
    </w:p>
    <w:p>
      <w:pPr>
        <w:pStyle w:val="Normal"/>
        <w:spacing w:lineRule="auto" w:line="240" w:before="0" w:after="0"/>
        <w:ind w:left="364"/>
        <w:jc w:val="both"/>
        <w:rPr>
          <w:rFonts w:cs="Calibri"/>
          <w:sz w:val="20"/>
          <w:szCs w:val="20"/>
        </w:rPr>
      </w:pPr>
      <w:r>
        <w:rPr>
          <w:rFonts w:cs="Calibri"/>
          <w:sz w:val="20"/>
          <w:szCs w:val="20"/>
        </w:rPr>
        <w:t xml:space="preserve">Dopuszcza się dostawy mieszanek mineralno-asfaltowych z kilku wytwórni, pod warunkiem skoordynowania między sobą deklarowanych przydatności mieszanek (m.in.: typ, rodzaj składników, właściwości objętościowe) </w:t>
        <w:br/>
        <w:t>z zachowaniem braku różnic w ich właściwościach.</w:t>
      </w:r>
    </w:p>
    <w:p>
      <w:pPr>
        <w:pStyle w:val="Normal"/>
        <w:spacing w:lineRule="auto" w:line="240" w:before="0" w:after="0"/>
        <w:ind w:left="364"/>
        <w:jc w:val="both"/>
        <w:rPr>
          <w:rFonts w:cs="Calibri"/>
          <w:sz w:val="20"/>
          <w:szCs w:val="20"/>
        </w:rPr>
      </w:pPr>
      <w:r>
        <w:rPr>
          <w:rFonts w:cs="Calibri"/>
          <w:sz w:val="20"/>
          <w:szCs w:val="20"/>
        </w:rPr>
      </w:r>
    </w:p>
    <w:p>
      <w:pPr>
        <w:pStyle w:val="Normal"/>
        <w:spacing w:lineRule="auto" w:line="240" w:before="0" w:after="0"/>
        <w:jc w:val="both"/>
        <w:rPr>
          <w:rFonts w:cs="Calibri"/>
          <w:sz w:val="20"/>
          <w:szCs w:val="20"/>
        </w:rPr>
      </w:pPr>
      <w:r>
        <w:rPr>
          <w:rFonts w:cs="Calibri"/>
          <w:sz w:val="20"/>
          <w:szCs w:val="20"/>
        </w:rPr>
        <w:t>5.4. Przygotowanie podłoża</w:t>
      </w:r>
    </w:p>
    <w:p>
      <w:pPr>
        <w:pStyle w:val="Normal"/>
        <w:spacing w:lineRule="auto" w:line="240" w:before="0" w:after="0"/>
        <w:ind w:left="364"/>
        <w:jc w:val="both"/>
        <w:rPr>
          <w:rFonts w:cs="Calibri"/>
          <w:sz w:val="20"/>
          <w:szCs w:val="20"/>
        </w:rPr>
      </w:pPr>
      <w:r>
        <w:rPr>
          <w:rFonts w:cs="Calibri"/>
          <w:sz w:val="20"/>
          <w:szCs w:val="20"/>
        </w:rPr>
        <w:t>Podłoże (warstwa wyrównawcza, warstwa wiążąca lub stara warstwa ścieralna) pod warstwę ścieralną z betonu asfaltowego powinno być na całej powierzchni:</w:t>
      </w:r>
    </w:p>
    <w:p>
      <w:pPr>
        <w:pStyle w:val="Normal"/>
        <w:spacing w:lineRule="auto" w:line="240" w:before="0" w:after="0"/>
        <w:ind w:left="364"/>
        <w:jc w:val="both"/>
        <w:rPr>
          <w:rFonts w:cs="Calibri"/>
          <w:sz w:val="20"/>
          <w:szCs w:val="20"/>
        </w:rPr>
      </w:pPr>
      <w:r>
        <w:rPr>
          <w:rFonts w:cs="Calibri"/>
          <w:sz w:val="20"/>
          <w:szCs w:val="20"/>
        </w:rPr>
        <w:t xml:space="preserve">– </w:t>
      </w:r>
      <w:r>
        <w:rPr>
          <w:rFonts w:cs="Calibri"/>
          <w:sz w:val="20"/>
          <w:szCs w:val="20"/>
        </w:rPr>
        <w:t>ustabilizowane i nośne,</w:t>
      </w:r>
    </w:p>
    <w:p>
      <w:pPr>
        <w:pStyle w:val="Normal"/>
        <w:spacing w:lineRule="auto" w:line="240" w:before="0" w:after="0"/>
        <w:ind w:left="364"/>
        <w:jc w:val="both"/>
        <w:rPr>
          <w:rFonts w:cs="Calibri"/>
          <w:sz w:val="20"/>
          <w:szCs w:val="20"/>
        </w:rPr>
      </w:pPr>
      <w:r>
        <w:rPr>
          <w:rFonts w:cs="Calibri"/>
          <w:sz w:val="20"/>
          <w:szCs w:val="20"/>
        </w:rPr>
        <w:t xml:space="preserve">– </w:t>
      </w:r>
      <w:r>
        <w:rPr>
          <w:rFonts w:cs="Calibri"/>
          <w:sz w:val="20"/>
          <w:szCs w:val="20"/>
        </w:rPr>
        <w:t>czyste, bez zanieczyszczenia lub pozostałości luźnego kruszywa,</w:t>
      </w:r>
    </w:p>
    <w:p>
      <w:pPr>
        <w:pStyle w:val="Normal"/>
        <w:spacing w:lineRule="auto" w:line="240" w:before="0" w:after="0"/>
        <w:ind w:left="364"/>
        <w:jc w:val="both"/>
        <w:rPr>
          <w:rFonts w:cs="Calibri"/>
          <w:sz w:val="20"/>
          <w:szCs w:val="20"/>
        </w:rPr>
      </w:pPr>
      <w:r>
        <w:rPr>
          <w:rFonts w:cs="Calibri"/>
          <w:sz w:val="20"/>
          <w:szCs w:val="20"/>
        </w:rPr>
        <w:t xml:space="preserve">– </w:t>
      </w:r>
      <w:r>
        <w:rPr>
          <w:rFonts w:cs="Calibri"/>
          <w:sz w:val="20"/>
          <w:szCs w:val="20"/>
        </w:rPr>
        <w:t>wyprofilowane, równe i bez kolein,</w:t>
      </w:r>
    </w:p>
    <w:p>
      <w:pPr>
        <w:pStyle w:val="Normal"/>
        <w:spacing w:lineRule="auto" w:line="240" w:before="0" w:after="0"/>
        <w:ind w:left="364"/>
        <w:jc w:val="both"/>
        <w:rPr>
          <w:rFonts w:cs="Calibri"/>
          <w:sz w:val="20"/>
          <w:szCs w:val="20"/>
        </w:rPr>
      </w:pPr>
      <w:r>
        <w:rPr>
          <w:rFonts w:cs="Calibri"/>
          <w:sz w:val="20"/>
          <w:szCs w:val="20"/>
        </w:rPr>
        <w:t xml:space="preserve">– </w:t>
      </w:r>
      <w:r>
        <w:rPr>
          <w:rFonts w:cs="Calibri"/>
          <w:sz w:val="20"/>
          <w:szCs w:val="20"/>
        </w:rPr>
        <w:t>suche.</w:t>
      </w:r>
    </w:p>
    <w:p>
      <w:pPr>
        <w:pStyle w:val="Normal"/>
        <w:spacing w:lineRule="auto" w:line="240" w:before="0" w:after="0"/>
        <w:ind w:left="364"/>
        <w:jc w:val="both"/>
        <w:rPr>
          <w:rFonts w:cs="Calibri"/>
          <w:sz w:val="20"/>
          <w:szCs w:val="20"/>
        </w:rPr>
      </w:pPr>
      <w:r>
        <w:rPr>
          <w:rFonts w:cs="Calibri"/>
          <w:sz w:val="20"/>
          <w:szCs w:val="20"/>
        </w:rPr>
        <w:t>W wypadku podłoża z nowo wykonanej warstwy asfaltowej, Do oceny równości podłużnej warstwy wiążącej nawierzchni dróg wszystkich klas technicznych należy stosować metodę równoważną użyciu łaty i klina (planograf), lub z wykorzystaniem 4-metrowej łaty i klina mierząc maksymalną wysokość prześwitu pod łatą. Pomiar wykonuje się nie rzadziej niż co 10 m.</w:t>
      </w:r>
    </w:p>
    <w:p>
      <w:pPr>
        <w:pStyle w:val="Normal"/>
        <w:spacing w:lineRule="auto" w:line="240" w:before="0" w:after="0"/>
        <w:ind w:left="364"/>
        <w:jc w:val="both"/>
        <w:rPr>
          <w:rFonts w:cs="Calibri"/>
          <w:sz w:val="20"/>
          <w:szCs w:val="20"/>
        </w:rPr>
      </w:pPr>
      <w:r>
        <w:rPr>
          <w:rFonts w:cs="Calibri"/>
          <w:sz w:val="20"/>
          <w:szCs w:val="20"/>
        </w:rPr>
        <w:t>Dopuszczalne nierówności warstwy wiążącej &lt; 6mm .</w:t>
      </w:r>
    </w:p>
    <w:p>
      <w:pPr>
        <w:pStyle w:val="Normal"/>
        <w:spacing w:lineRule="auto" w:line="240" w:before="0" w:after="0"/>
        <w:ind w:left="364"/>
        <w:jc w:val="both"/>
        <w:rPr>
          <w:rFonts w:cs="Calibri"/>
          <w:sz w:val="20"/>
          <w:szCs w:val="20"/>
        </w:rPr>
      </w:pPr>
      <w:r>
        <w:rPr>
          <w:rFonts w:cs="Calibri"/>
          <w:sz w:val="20"/>
          <w:szCs w:val="20"/>
        </w:rPr>
      </w:r>
    </w:p>
    <w:p>
      <w:pPr>
        <w:pStyle w:val="Normal"/>
        <w:spacing w:lineRule="auto" w:line="240" w:before="0" w:after="0"/>
        <w:jc w:val="both"/>
        <w:rPr>
          <w:rFonts w:cs="Calibri"/>
          <w:sz w:val="20"/>
          <w:szCs w:val="20"/>
        </w:rPr>
      </w:pPr>
      <w:r>
        <w:rPr>
          <w:rFonts w:cs="Calibri"/>
          <w:sz w:val="20"/>
          <w:szCs w:val="20"/>
        </w:rPr>
        <w:t>5.5. Próba technologiczna</w:t>
      </w:r>
    </w:p>
    <w:p>
      <w:pPr>
        <w:pStyle w:val="Normal"/>
        <w:spacing w:lineRule="auto" w:line="240" w:before="0" w:after="0"/>
        <w:ind w:left="364"/>
        <w:jc w:val="both"/>
        <w:rPr>
          <w:rFonts w:cs="Calibri"/>
          <w:sz w:val="20"/>
          <w:szCs w:val="20"/>
        </w:rPr>
      </w:pPr>
      <w:r>
        <w:rPr>
          <w:rFonts w:cs="Calibri"/>
          <w:sz w:val="20"/>
          <w:szCs w:val="20"/>
        </w:rPr>
        <w:t>Wykonawca przed przystąpieniem do produkcji mieszanki jest zobowiązany do przeprowadzenia w obecności Inżyniera próby technologicznej, która ma na celu sprawdzenie zgodności właściwości wyprodukowanej mieszanki z receptą. W tym celu należy zaprogramować otaczarkę zgodnie z receptą roboczą i w cyklu automatycznym produkować mieszankę. Do badań należy pobrać mieszankę wyprodukowaną po ustabilizowaniu się pracy otaczarki.</w:t>
      </w:r>
    </w:p>
    <w:p>
      <w:pPr>
        <w:pStyle w:val="Normal"/>
        <w:spacing w:lineRule="auto" w:line="240" w:before="0" w:after="0"/>
        <w:ind w:left="364"/>
        <w:jc w:val="both"/>
        <w:rPr>
          <w:rFonts w:cs="Calibri"/>
          <w:sz w:val="20"/>
          <w:szCs w:val="20"/>
        </w:rPr>
      </w:pPr>
      <w:r>
        <w:rPr>
          <w:rFonts w:cs="Calibri"/>
          <w:sz w:val="20"/>
          <w:szCs w:val="20"/>
        </w:rPr>
        <w:t>Nie dopuszcza się oceniania dokładności pracy otaczarki oraz prawidłowości składu mieszanki mineralnej na podstawie tzw. suchego zarobu, z uwagi na możliwą segregację kruszywa.</w:t>
      </w:r>
    </w:p>
    <w:p>
      <w:pPr>
        <w:pStyle w:val="Normal"/>
        <w:spacing w:lineRule="auto" w:line="240" w:before="0" w:after="0"/>
        <w:ind w:left="364"/>
        <w:jc w:val="both"/>
        <w:rPr>
          <w:rFonts w:cs="Calibri"/>
          <w:sz w:val="20"/>
          <w:szCs w:val="20"/>
        </w:rPr>
      </w:pPr>
      <w:r>
        <w:rPr>
          <w:rFonts w:cs="Calibri"/>
          <w:sz w:val="20"/>
          <w:szCs w:val="20"/>
        </w:rPr>
        <w:t xml:space="preserve">Mieszankę wyprodukowaną po ustabilizowaniu się pracy otaczarki należy zgromadzić w silosie lub załadować na samochód. Próbki do badań należy pobierać ze skrzyni samochodu zgodnie z metodą określoną </w:t>
        <w:br/>
        <w:t>w PN-EN 12697-27 [39]. Na podstawie uzyskanych wyników Inżynier podejmuje decyzję o wykonaniu odcinka próbnego.</w:t>
      </w:r>
    </w:p>
    <w:p>
      <w:pPr>
        <w:pStyle w:val="Normal"/>
        <w:spacing w:lineRule="auto" w:line="240" w:before="0" w:after="0"/>
        <w:ind w:left="364"/>
        <w:jc w:val="both"/>
        <w:rPr>
          <w:rFonts w:cs="Calibri"/>
          <w:sz w:val="20"/>
          <w:szCs w:val="20"/>
        </w:rPr>
      </w:pPr>
      <w:r>
        <w:rPr>
          <w:rFonts w:cs="Calibri"/>
          <w:sz w:val="20"/>
          <w:szCs w:val="20"/>
        </w:rPr>
      </w:r>
    </w:p>
    <w:p>
      <w:pPr>
        <w:pStyle w:val="Normal"/>
        <w:spacing w:lineRule="auto" w:line="240" w:before="0" w:after="0"/>
        <w:jc w:val="both"/>
        <w:rPr>
          <w:rFonts w:cs="Calibri"/>
          <w:sz w:val="20"/>
          <w:szCs w:val="20"/>
        </w:rPr>
      </w:pPr>
      <w:r>
        <w:rPr>
          <w:rFonts w:cs="Calibri"/>
          <w:sz w:val="20"/>
          <w:szCs w:val="20"/>
        </w:rPr>
        <w:t>5.6. Odcinek próbny</w:t>
      </w:r>
    </w:p>
    <w:p>
      <w:pPr>
        <w:pStyle w:val="Normal"/>
        <w:spacing w:lineRule="auto" w:line="240" w:before="0" w:after="0"/>
        <w:ind w:left="364"/>
        <w:jc w:val="both"/>
        <w:rPr>
          <w:rFonts w:cs="Calibri"/>
          <w:sz w:val="20"/>
          <w:szCs w:val="20"/>
        </w:rPr>
      </w:pPr>
      <w:r>
        <w:rPr>
          <w:rFonts w:cs="Calibri"/>
          <w:sz w:val="20"/>
          <w:szCs w:val="20"/>
        </w:rPr>
        <w:t>Przed przystąpieniem do wykonania warstwy ścieralnej z betonu asfaltowego Wykonawca wykona odcinek próbny celem uściślenia organizacji wytwarzania i układania oraz ustalenia warunków zagęszczania.</w:t>
      </w:r>
    </w:p>
    <w:p>
      <w:pPr>
        <w:pStyle w:val="Normal"/>
        <w:spacing w:lineRule="auto" w:line="240" w:before="0" w:after="0"/>
        <w:ind w:left="364"/>
        <w:jc w:val="both"/>
        <w:rPr>
          <w:rFonts w:cs="Calibri"/>
          <w:sz w:val="20"/>
          <w:szCs w:val="20"/>
        </w:rPr>
      </w:pPr>
      <w:r>
        <w:rPr>
          <w:rFonts w:cs="Calibri"/>
          <w:sz w:val="20"/>
          <w:szCs w:val="20"/>
        </w:rPr>
        <w:t>Odcinek próbny powinien być zlokalizowany w miejscu uzgodnionym z Inżynierem. Powierzchnia odcinka próbnego powinna wynosić co najmniej 500 m2, a długość co najmniej 50 m. Na odcinku próbnym Wykonawca powinien użyć takich materiałów oraz sprzętu jakie zamierza stosować do wykonania warstwy ścieralnej.</w:t>
      </w:r>
    </w:p>
    <w:p>
      <w:pPr>
        <w:pStyle w:val="Normal"/>
        <w:spacing w:lineRule="auto" w:line="240" w:before="0" w:after="0"/>
        <w:ind w:left="364"/>
        <w:jc w:val="both"/>
        <w:rPr>
          <w:rFonts w:cs="Calibri"/>
          <w:sz w:val="20"/>
          <w:szCs w:val="20"/>
        </w:rPr>
      </w:pPr>
      <w:r>
        <w:rPr>
          <w:rFonts w:cs="Calibri"/>
          <w:sz w:val="20"/>
          <w:szCs w:val="20"/>
        </w:rPr>
        <w:t xml:space="preserve">Wykonawca może przystąpić do realizacji robót po zaakceptowaniu przez Inżyniera technologii wbudowania </w:t>
        <w:br/>
        <w:t>i zagęszczania oraz wyników z odcinka próbnego.</w:t>
      </w:r>
    </w:p>
    <w:p>
      <w:pPr>
        <w:pStyle w:val="Normal"/>
        <w:spacing w:lineRule="auto" w:line="240" w:before="0" w:after="0"/>
        <w:ind w:left="364"/>
        <w:jc w:val="both"/>
        <w:rPr>
          <w:rFonts w:cs="Calibri"/>
          <w:sz w:val="20"/>
          <w:szCs w:val="20"/>
        </w:rPr>
      </w:pPr>
      <w:r>
        <w:rPr>
          <w:rFonts w:cs="Calibri"/>
          <w:sz w:val="20"/>
          <w:szCs w:val="20"/>
        </w:rPr>
      </w:r>
    </w:p>
    <w:p>
      <w:pPr>
        <w:pStyle w:val="Normal"/>
        <w:spacing w:lineRule="auto" w:line="240" w:before="0" w:after="0"/>
        <w:jc w:val="both"/>
        <w:rPr>
          <w:rFonts w:cs="Calibri"/>
          <w:sz w:val="20"/>
          <w:szCs w:val="20"/>
        </w:rPr>
      </w:pPr>
      <w:r>
        <w:rPr>
          <w:rFonts w:cs="Calibri"/>
          <w:sz w:val="20"/>
          <w:szCs w:val="20"/>
        </w:rPr>
        <w:t>5.7. Połączenie międzywarstwowe</w:t>
      </w:r>
    </w:p>
    <w:p>
      <w:pPr>
        <w:pStyle w:val="Normal"/>
        <w:spacing w:lineRule="auto" w:line="240" w:before="0" w:after="0"/>
        <w:ind w:left="364"/>
        <w:jc w:val="both"/>
        <w:rPr>
          <w:rFonts w:cs="Calibri"/>
          <w:sz w:val="20"/>
          <w:szCs w:val="20"/>
        </w:rPr>
      </w:pPr>
      <w:r>
        <w:rPr>
          <w:rFonts w:cs="Calibri"/>
          <w:sz w:val="20"/>
          <w:szCs w:val="20"/>
        </w:rPr>
        <w:t>Uzyskanie wymaganej trwałości nawierzchni jest uzależnione od zapewnienia połączenia między warstwami i ich współpracy w przenoszeniu obciążenia nawierzchni ruchem.</w:t>
      </w:r>
    </w:p>
    <w:p>
      <w:pPr>
        <w:pStyle w:val="Normal"/>
        <w:spacing w:lineRule="auto" w:line="240" w:before="0" w:after="0"/>
        <w:ind w:left="364"/>
        <w:jc w:val="both"/>
        <w:rPr>
          <w:rFonts w:cs="Calibri"/>
          <w:sz w:val="20"/>
          <w:szCs w:val="20"/>
        </w:rPr>
      </w:pPr>
      <w:r>
        <w:rPr>
          <w:rFonts w:cs="Calibri"/>
          <w:sz w:val="20"/>
          <w:szCs w:val="20"/>
        </w:rPr>
        <w:t>Podłoże powinno być skropione lepiszczem. Ma to na celu zwiększenie połączenia między warstwami konstrukcyjnymi oraz zabezpieczenie przed wnikaniem i zaleganiem wody między warstwami.</w:t>
      </w:r>
    </w:p>
    <w:p>
      <w:pPr>
        <w:pStyle w:val="Normal"/>
        <w:spacing w:lineRule="auto" w:line="240" w:before="0" w:after="0"/>
        <w:ind w:left="364"/>
        <w:jc w:val="both"/>
        <w:rPr>
          <w:rFonts w:cs="Calibri"/>
          <w:sz w:val="20"/>
          <w:szCs w:val="20"/>
        </w:rPr>
      </w:pPr>
      <w:r>
        <w:rPr>
          <w:rFonts w:cs="Calibri"/>
          <w:sz w:val="20"/>
          <w:szCs w:val="20"/>
        </w:rPr>
        <w:t>Skropienie lepiszczem podłoża (np. z warstwy wiążącej asfaltowej), przed ułożeniem warstwy ścieralnej z betonu asfaltowego powinno być wykonane w ilości podanej w przeliczeniu na pozostałe lepiszcze, tj. 0,1 ÷ 0,3 kg/m2, przy czym:</w:t>
      </w:r>
    </w:p>
    <w:p>
      <w:pPr>
        <w:pStyle w:val="ListParagraph"/>
        <w:numPr>
          <w:ilvl w:val="0"/>
          <w:numId w:val="2"/>
        </w:numPr>
        <w:spacing w:lineRule="auto" w:line="240" w:before="0" w:after="0"/>
        <w:contextualSpacing/>
        <w:jc w:val="both"/>
        <w:rPr>
          <w:rFonts w:cs="Calibri"/>
          <w:sz w:val="20"/>
          <w:szCs w:val="20"/>
        </w:rPr>
      </w:pPr>
      <w:r>
        <w:rPr>
          <w:rFonts w:cs="Calibri"/>
          <w:sz w:val="20"/>
          <w:szCs w:val="20"/>
        </w:rPr>
        <w:t>zaleca się stosować emulsję modyfikowaną polimerem,</w:t>
      </w:r>
    </w:p>
    <w:p>
      <w:pPr>
        <w:pStyle w:val="ListParagraph"/>
        <w:numPr>
          <w:ilvl w:val="0"/>
          <w:numId w:val="2"/>
        </w:numPr>
        <w:spacing w:lineRule="auto" w:line="240" w:before="0" w:after="0"/>
        <w:contextualSpacing/>
        <w:jc w:val="both"/>
        <w:rPr>
          <w:rFonts w:cs="Calibri"/>
          <w:sz w:val="20"/>
          <w:szCs w:val="20"/>
        </w:rPr>
      </w:pPr>
      <w:r>
        <w:rPr>
          <w:rFonts w:cs="Calibri"/>
          <w:sz w:val="20"/>
          <w:szCs w:val="20"/>
        </w:rPr>
        <w:t xml:space="preserve">ilość emulsji należy dobrać z uwzględnieniem stanu podłoża oraz porowatości mieszanki; jeśli mieszanka ma większą zawartość wolnych przestrzeni, to należy użyć większą ilość lepiszcza do skropienia, które po ułożeniu warstwy ścieralnej uszczelni ją. </w:t>
      </w:r>
    </w:p>
    <w:p>
      <w:pPr>
        <w:pStyle w:val="Normal"/>
        <w:spacing w:lineRule="auto" w:line="240" w:before="0" w:after="0"/>
        <w:ind w:left="364"/>
        <w:jc w:val="both"/>
        <w:rPr>
          <w:rFonts w:cs="Calibri"/>
          <w:sz w:val="20"/>
          <w:szCs w:val="20"/>
        </w:rPr>
      </w:pPr>
      <w:r>
        <w:rPr>
          <w:rFonts w:cs="Calibri"/>
          <w:sz w:val="20"/>
          <w:szCs w:val="20"/>
        </w:rPr>
      </w:r>
    </w:p>
    <w:p>
      <w:pPr>
        <w:pStyle w:val="Normal"/>
        <w:spacing w:lineRule="auto" w:line="240" w:before="0" w:after="0"/>
        <w:ind w:left="364"/>
        <w:jc w:val="both"/>
        <w:rPr>
          <w:rFonts w:cs="Calibri"/>
          <w:sz w:val="20"/>
          <w:szCs w:val="20"/>
        </w:rPr>
      </w:pPr>
      <w:r>
        <w:rPr>
          <w:rFonts w:cs="Calibri"/>
          <w:sz w:val="20"/>
          <w:szCs w:val="20"/>
        </w:rPr>
        <w:t>Skrapianie podłoża należy wykonywać równomiernie stosując rampy do skrapiania, np. skrapiarki do lepiszczy asfaltowych. Dopuszcza się skrapianie ręczne lancą w miejscach trudno dostępnych (np. ścieki uliczne) oraz przy urządzeniach usytuowanych w nawierzchni lub ją ograniczających. W razie potrzeby urządzenia te należy zabezpieczyć przed zabrudzeniem. Skropione podłoże należy wyłączyć z ruchu publicznego przez zmianę organizacji ruchu.</w:t>
      </w:r>
    </w:p>
    <w:p>
      <w:pPr>
        <w:pStyle w:val="Normal"/>
        <w:spacing w:lineRule="auto" w:line="240" w:before="0" w:after="0"/>
        <w:ind w:left="364"/>
        <w:jc w:val="both"/>
        <w:rPr>
          <w:rFonts w:cs="Calibri"/>
          <w:sz w:val="20"/>
          <w:szCs w:val="20"/>
        </w:rPr>
      </w:pPr>
      <w:r>
        <w:rPr>
          <w:rFonts w:cs="Calibri"/>
          <w:sz w:val="20"/>
          <w:szCs w:val="20"/>
        </w:rPr>
        <w:t>W wypadku stosowania emulsji asfaltowej podłoże powinno być skropione 0,5 h przed układaniem warstwy asfaltowej w celu odparowania wody.</w:t>
      </w:r>
    </w:p>
    <w:p>
      <w:pPr>
        <w:pStyle w:val="Normal"/>
        <w:spacing w:lineRule="auto" w:line="240" w:before="0" w:after="0"/>
        <w:ind w:left="364"/>
        <w:jc w:val="both"/>
        <w:rPr>
          <w:rFonts w:cs="Calibri"/>
          <w:sz w:val="20"/>
          <w:szCs w:val="20"/>
        </w:rPr>
      </w:pPr>
      <w:r>
        <w:rPr>
          <w:rFonts w:cs="Calibri"/>
          <w:sz w:val="20"/>
          <w:szCs w:val="20"/>
        </w:rPr>
        <w:t>Czas ten nie dotyczy skrapiania rampą zamontowaną na rozkładarce.</w:t>
      </w:r>
    </w:p>
    <w:p>
      <w:pPr>
        <w:pStyle w:val="Normal"/>
        <w:spacing w:lineRule="auto" w:line="240" w:before="0" w:after="0"/>
        <w:ind w:left="364"/>
        <w:jc w:val="both"/>
        <w:rPr>
          <w:rFonts w:cs="Calibri"/>
          <w:sz w:val="20"/>
          <w:szCs w:val="20"/>
        </w:rPr>
      </w:pPr>
      <w:r>
        <w:rPr>
          <w:rFonts w:cs="Calibri"/>
          <w:sz w:val="20"/>
          <w:szCs w:val="20"/>
        </w:rPr>
      </w:r>
    </w:p>
    <w:p>
      <w:pPr>
        <w:pStyle w:val="Normal"/>
        <w:spacing w:lineRule="auto" w:line="240" w:before="0" w:after="0"/>
        <w:jc w:val="both"/>
        <w:rPr>
          <w:rFonts w:cs="Calibri"/>
          <w:sz w:val="20"/>
          <w:szCs w:val="20"/>
        </w:rPr>
      </w:pPr>
      <w:r>
        <w:rPr>
          <w:rFonts w:cs="Calibri"/>
          <w:sz w:val="20"/>
          <w:szCs w:val="20"/>
        </w:rPr>
        <w:t>5.8. Wbudowanie mieszanki mineralno-asfaltowej</w:t>
      </w:r>
    </w:p>
    <w:p>
      <w:pPr>
        <w:pStyle w:val="Normal"/>
        <w:spacing w:lineRule="auto" w:line="240" w:before="0" w:after="0"/>
        <w:ind w:left="364"/>
        <w:jc w:val="both"/>
        <w:rPr>
          <w:rFonts w:cs="Calibri"/>
          <w:sz w:val="20"/>
          <w:szCs w:val="20"/>
        </w:rPr>
      </w:pPr>
      <w:r>
        <w:rPr>
          <w:rFonts w:cs="Calibri"/>
          <w:sz w:val="20"/>
          <w:szCs w:val="20"/>
        </w:rPr>
        <w:t xml:space="preserve">Mieszankę mineralno-asfaltową można wbudowywać na podłożu przygotowanym zgodnie z zapisami </w:t>
        <w:br/>
        <w:t>w punktach 5.4 i 5.7. Temperatura podłoża pod rozkładaną warstwę nie może być niższa niż +5°C.</w:t>
      </w:r>
    </w:p>
    <w:p>
      <w:pPr>
        <w:pStyle w:val="Normal"/>
        <w:spacing w:lineRule="auto" w:line="240" w:before="0" w:after="0"/>
        <w:ind w:left="364"/>
        <w:jc w:val="both"/>
        <w:rPr>
          <w:rFonts w:cs="Calibri"/>
          <w:sz w:val="20"/>
          <w:szCs w:val="20"/>
        </w:rPr>
      </w:pPr>
      <w:r>
        <w:rPr>
          <w:rFonts w:cs="Calibri"/>
          <w:sz w:val="20"/>
          <w:szCs w:val="20"/>
        </w:rPr>
        <w:t>Transport mieszanki mineralno-asfaltowej asfaltowej powinien być zgodny z zaleceniami podanymi w punkcie 4.2.</w:t>
      </w:r>
    </w:p>
    <w:p>
      <w:pPr>
        <w:pStyle w:val="Normal"/>
        <w:spacing w:lineRule="auto" w:line="240" w:before="0" w:after="0"/>
        <w:ind w:left="364"/>
        <w:jc w:val="both"/>
        <w:rPr>
          <w:rFonts w:cs="Calibri"/>
          <w:sz w:val="20"/>
          <w:szCs w:val="20"/>
        </w:rPr>
      </w:pPr>
      <w:r>
        <w:rPr>
          <w:rFonts w:cs="Calibri"/>
          <w:sz w:val="20"/>
          <w:szCs w:val="20"/>
        </w:rPr>
        <w:t>Mieszankę mineralno-asfaltową asfaltową należy wbudowywać w odpowiednich warunkach atmosferycznych.</w:t>
      </w:r>
    </w:p>
    <w:p>
      <w:pPr>
        <w:pStyle w:val="Normal"/>
        <w:spacing w:lineRule="auto" w:line="240" w:before="0" w:after="0"/>
        <w:ind w:left="364"/>
        <w:jc w:val="both"/>
        <w:rPr>
          <w:rFonts w:cs="Calibri"/>
          <w:sz w:val="20"/>
          <w:szCs w:val="20"/>
        </w:rPr>
      </w:pPr>
      <w:r>
        <w:rPr>
          <w:rFonts w:cs="Calibri"/>
          <w:sz w:val="20"/>
          <w:szCs w:val="20"/>
        </w:rPr>
        <w:t>Temperatura otoczenia w ciągu doby nie powinna być niższa od temperatury podanej w tablicy 13.</w:t>
      </w:r>
    </w:p>
    <w:p>
      <w:pPr>
        <w:pStyle w:val="Normal"/>
        <w:spacing w:lineRule="auto" w:line="240" w:before="0" w:after="0"/>
        <w:ind w:left="364"/>
        <w:jc w:val="both"/>
        <w:rPr>
          <w:rFonts w:cs="Calibri"/>
          <w:sz w:val="20"/>
          <w:szCs w:val="20"/>
        </w:rPr>
      </w:pPr>
      <w:r>
        <w:rPr>
          <w:rFonts w:cs="Calibri"/>
          <w:sz w:val="20"/>
          <w:szCs w:val="20"/>
        </w:rPr>
        <w:t>Temperatura otoczenia może być niższa w wypadku stosowania ogrzewania podłoża. Nie dopuszcza się układania mieszanki mineralno-asfaltowej asfaltowej podczas silnego wiatru (V &gt; 16 m/s). W wypadku stosowania mieszanek mineralno-asfaltowych z dodatkiem obniżającym temperaturę mieszania i wbudowania należy indywidualnie określić wymagane warunki otoczenia.</w:t>
      </w:r>
    </w:p>
    <w:p>
      <w:pPr>
        <w:pStyle w:val="Normal"/>
        <w:spacing w:lineRule="auto" w:line="240" w:before="0" w:after="0"/>
        <w:ind w:left="364"/>
        <w:jc w:val="both"/>
        <w:rPr>
          <w:rFonts w:cs="Calibri"/>
          <w:sz w:val="20"/>
          <w:szCs w:val="20"/>
        </w:rPr>
      </w:pPr>
      <w:r>
        <w:rPr>
          <w:rFonts w:cs="Calibri"/>
          <w:sz w:val="20"/>
          <w:szCs w:val="20"/>
        </w:rPr>
        <w:t>Tablica 13. Minimalna temperatura otoczenia na wysokości 2m podczas wykonywania warstw asfaltowych to</w:t>
      </w:r>
    </w:p>
    <w:p>
      <w:pPr>
        <w:pStyle w:val="Normal"/>
        <w:spacing w:lineRule="auto" w:line="240" w:before="0" w:after="0"/>
        <w:ind w:left="364"/>
        <w:jc w:val="both"/>
        <w:rPr>
          <w:rFonts w:cs="Calibri"/>
          <w:sz w:val="20"/>
          <w:szCs w:val="20"/>
        </w:rPr>
      </w:pPr>
      <w:r>
        <w:rPr>
          <w:rFonts w:cs="Calibri"/>
          <w:sz w:val="20"/>
          <w:szCs w:val="20"/>
        </w:rPr>
        <w:t>przed przystąpieniem do robót – 0; w czasie robót +5</w:t>
      </w:r>
    </w:p>
    <w:p>
      <w:pPr>
        <w:pStyle w:val="Normal"/>
        <w:spacing w:lineRule="auto" w:line="240" w:before="0" w:after="0"/>
        <w:ind w:left="364"/>
        <w:jc w:val="both"/>
        <w:rPr>
          <w:rFonts w:cs="Calibri"/>
          <w:sz w:val="20"/>
          <w:szCs w:val="20"/>
        </w:rPr>
      </w:pPr>
      <w:r>
        <w:rPr>
          <w:rFonts w:cs="Calibri"/>
          <w:sz w:val="20"/>
          <w:szCs w:val="20"/>
        </w:rPr>
        <w:t>Właściwości wykonanej warstwy powinny spełniać warunki podane w tablicy 14.</w:t>
      </w:r>
    </w:p>
    <w:p>
      <w:pPr>
        <w:pStyle w:val="Normal"/>
        <w:spacing w:lineRule="auto" w:line="240" w:before="0" w:after="0"/>
        <w:ind w:left="364"/>
        <w:jc w:val="both"/>
        <w:rPr>
          <w:rFonts w:cs="Calibri"/>
          <w:sz w:val="20"/>
          <w:szCs w:val="20"/>
        </w:rPr>
      </w:pPr>
      <w:r>
        <w:rPr>
          <w:rFonts w:cs="Calibri"/>
          <w:sz w:val="20"/>
          <w:szCs w:val="20"/>
        </w:rPr>
      </w:r>
    </w:p>
    <w:p>
      <w:pPr>
        <w:pStyle w:val="Normal"/>
        <w:spacing w:lineRule="auto" w:line="240" w:before="0" w:after="0"/>
        <w:ind w:left="364"/>
        <w:jc w:val="both"/>
        <w:rPr>
          <w:rFonts w:cs="Calibri"/>
          <w:i/>
          <w:i/>
          <w:sz w:val="18"/>
          <w:szCs w:val="20"/>
        </w:rPr>
      </w:pPr>
      <w:r>
        <w:rPr>
          <w:rFonts w:cs="Calibri"/>
          <w:i/>
          <w:sz w:val="18"/>
          <w:szCs w:val="20"/>
        </w:rPr>
        <w:t>Tablica 14. Właściwości warstwy AC 8S</w:t>
      </w:r>
    </w:p>
    <w:p>
      <w:pPr>
        <w:pStyle w:val="Normal"/>
        <w:spacing w:lineRule="auto" w:line="240" w:before="0" w:after="0"/>
        <w:ind w:left="364"/>
        <w:jc w:val="both"/>
        <w:rPr>
          <w:rFonts w:cs="Calibri"/>
          <w:sz w:val="20"/>
          <w:szCs w:val="20"/>
        </w:rPr>
      </w:pPr>
      <w:r>
        <w:rPr>
          <w:rFonts w:cs="Calibri"/>
          <w:sz w:val="20"/>
          <w:szCs w:val="20"/>
        </w:rPr>
      </w:r>
    </w:p>
    <w:p>
      <w:pPr>
        <w:pStyle w:val="Normal"/>
        <w:spacing w:lineRule="auto" w:line="240" w:before="0" w:after="0"/>
        <w:ind w:left="364"/>
        <w:jc w:val="both"/>
        <w:rPr>
          <w:rFonts w:cs="Calibri"/>
          <w:sz w:val="20"/>
          <w:szCs w:val="20"/>
        </w:rPr>
      </w:pPr>
      <w:r>
        <w:rPr>
          <w:rFonts w:cs="Calibri"/>
          <w:sz w:val="20"/>
          <w:szCs w:val="20"/>
        </w:rPr>
        <w:t>Projektowana grubość warstwy technologicznej [cm] 4cm</w:t>
      </w:r>
    </w:p>
    <w:p>
      <w:pPr>
        <w:pStyle w:val="Normal"/>
        <w:spacing w:lineRule="auto" w:line="240" w:before="0" w:after="0"/>
        <w:ind w:left="364"/>
        <w:jc w:val="both"/>
        <w:rPr>
          <w:rFonts w:cs="Calibri"/>
          <w:sz w:val="20"/>
          <w:szCs w:val="20"/>
        </w:rPr>
      </w:pPr>
      <w:r>
        <w:rPr>
          <w:rFonts w:cs="Calibri"/>
          <w:sz w:val="20"/>
          <w:szCs w:val="20"/>
        </w:rPr>
        <w:t>Wskaźnik zagęszczenia ≥ 98[%]</w:t>
      </w:r>
    </w:p>
    <w:p>
      <w:pPr>
        <w:pStyle w:val="Normal"/>
        <w:spacing w:lineRule="auto" w:line="240" w:before="0" w:after="0"/>
        <w:ind w:left="364"/>
        <w:jc w:val="both"/>
        <w:rPr>
          <w:rFonts w:cs="Calibri"/>
          <w:sz w:val="20"/>
          <w:szCs w:val="20"/>
        </w:rPr>
      </w:pPr>
      <w:r>
        <w:rPr>
          <w:rFonts w:cs="Calibri"/>
          <w:sz w:val="20"/>
          <w:szCs w:val="20"/>
        </w:rPr>
        <w:t>Zawartość wolnych przestrzeni w warstwie 3,0÷5,0[%(v/v)]</w:t>
      </w:r>
    </w:p>
    <w:p>
      <w:pPr>
        <w:pStyle w:val="Normal"/>
        <w:spacing w:lineRule="auto" w:line="240" w:before="0" w:after="0"/>
        <w:ind w:left="364"/>
        <w:jc w:val="both"/>
        <w:rPr>
          <w:rFonts w:cs="Calibri"/>
          <w:sz w:val="20"/>
          <w:szCs w:val="20"/>
        </w:rPr>
      </w:pPr>
      <w:r>
        <w:rPr>
          <w:rFonts w:cs="Calibri"/>
          <w:sz w:val="20"/>
          <w:szCs w:val="20"/>
        </w:rPr>
        <w:t>Mieszanka mineralno-asfaltowa powinna być wbudowywana rozkładarką wyposażoną w układ automatycznego sterowania grubości warstwy i utrzymywania niwelety zgodnie z dokumentacją projektową. W miejscach niedostępnych dla sprzętu dopuszcza się wbudowywanie ręczne. Grubość wykonywanej warstwy powinna być sprawdzana co 25 m, w co najmniej trzech miejscach (w osi i przy brzegach warstwy).</w:t>
      </w:r>
    </w:p>
    <w:p>
      <w:pPr>
        <w:pStyle w:val="Normal"/>
        <w:spacing w:lineRule="auto" w:line="240" w:before="0" w:after="0"/>
        <w:ind w:left="364"/>
        <w:jc w:val="both"/>
        <w:rPr>
          <w:rFonts w:cs="Calibri"/>
          <w:sz w:val="20"/>
          <w:szCs w:val="20"/>
        </w:rPr>
      </w:pPr>
      <w:r>
        <w:rPr>
          <w:rFonts w:cs="Calibri"/>
          <w:sz w:val="20"/>
          <w:szCs w:val="20"/>
        </w:rPr>
        <w:t>Warstwy wałowane powinny być równomiernie zagęszczone ciężkimi walcami drogowymi. Do warstw z betonu asfaltowego należy stosować walce drogowe stalowe gładkie z możliwością wibracji, oscylacji lub walce ogumione.</w:t>
      </w:r>
    </w:p>
    <w:p>
      <w:pPr>
        <w:pStyle w:val="Normal"/>
        <w:spacing w:lineRule="auto" w:line="240" w:before="0" w:after="0"/>
        <w:ind w:left="364"/>
        <w:jc w:val="both"/>
        <w:rPr>
          <w:rFonts w:cs="Calibri"/>
          <w:sz w:val="20"/>
          <w:szCs w:val="20"/>
        </w:rPr>
      </w:pPr>
      <w:r>
        <w:rPr>
          <w:rFonts w:cs="Calibri"/>
          <w:sz w:val="20"/>
          <w:szCs w:val="20"/>
        </w:rPr>
      </w:r>
    </w:p>
    <w:p>
      <w:pPr>
        <w:pStyle w:val="Normal"/>
        <w:spacing w:lineRule="auto" w:line="240" w:before="0" w:after="0"/>
        <w:jc w:val="both"/>
        <w:rPr>
          <w:rFonts w:cs="Calibri"/>
          <w:b/>
          <w:sz w:val="20"/>
          <w:szCs w:val="20"/>
        </w:rPr>
      </w:pPr>
      <w:r>
        <w:rPr>
          <w:rFonts w:cs="Calibri"/>
          <w:b/>
          <w:sz w:val="20"/>
          <w:szCs w:val="20"/>
        </w:rPr>
        <w:t>6. KONTROLA JAKOŚCI ROBÓT</w:t>
      </w:r>
    </w:p>
    <w:p>
      <w:pPr>
        <w:pStyle w:val="Normal"/>
        <w:spacing w:lineRule="auto" w:line="240" w:before="0" w:after="0"/>
        <w:jc w:val="both"/>
        <w:rPr>
          <w:rFonts w:cs="Calibri"/>
          <w:sz w:val="20"/>
          <w:szCs w:val="20"/>
        </w:rPr>
      </w:pPr>
      <w:r>
        <w:rPr>
          <w:rFonts w:cs="Calibri"/>
          <w:sz w:val="20"/>
          <w:szCs w:val="20"/>
        </w:rPr>
        <w:t>6.1. Ogólne zasady kontroli jakości robót</w:t>
      </w:r>
    </w:p>
    <w:p>
      <w:pPr>
        <w:pStyle w:val="Normal"/>
        <w:spacing w:lineRule="auto" w:line="240" w:before="0" w:after="0"/>
        <w:ind w:left="364"/>
        <w:jc w:val="both"/>
        <w:rPr>
          <w:rFonts w:cs="Calibri"/>
          <w:sz w:val="20"/>
          <w:szCs w:val="20"/>
        </w:rPr>
      </w:pPr>
      <w:r>
        <w:rPr>
          <w:rFonts w:cs="Calibri"/>
          <w:sz w:val="20"/>
          <w:szCs w:val="20"/>
        </w:rPr>
        <w:t>Ogólne zasady kontroli jakości robót podano w STWIORB D-M-00.00.00 „Wymagania ogólne” [1] pkt 6.</w:t>
      </w:r>
    </w:p>
    <w:p>
      <w:pPr>
        <w:pStyle w:val="Normal"/>
        <w:spacing w:lineRule="auto" w:line="240" w:before="0" w:after="0"/>
        <w:ind w:left="364"/>
        <w:jc w:val="both"/>
        <w:rPr>
          <w:rFonts w:cs="Calibri"/>
          <w:sz w:val="20"/>
          <w:szCs w:val="20"/>
        </w:rPr>
      </w:pPr>
      <w:r>
        <w:rPr>
          <w:rFonts w:cs="Calibri"/>
          <w:sz w:val="20"/>
          <w:szCs w:val="20"/>
        </w:rPr>
      </w:r>
    </w:p>
    <w:p>
      <w:pPr>
        <w:pStyle w:val="Normal"/>
        <w:spacing w:lineRule="auto" w:line="240" w:before="0" w:after="0"/>
        <w:jc w:val="both"/>
        <w:rPr>
          <w:rFonts w:cs="Calibri"/>
          <w:sz w:val="20"/>
          <w:szCs w:val="20"/>
        </w:rPr>
      </w:pPr>
      <w:r>
        <w:rPr>
          <w:rFonts w:cs="Calibri"/>
          <w:sz w:val="20"/>
          <w:szCs w:val="20"/>
        </w:rPr>
        <w:t>6.2. Badania przed przystąpieniem do robót</w:t>
      </w:r>
    </w:p>
    <w:p>
      <w:pPr>
        <w:pStyle w:val="Normal"/>
        <w:spacing w:lineRule="auto" w:line="240" w:before="0" w:after="0"/>
        <w:ind w:left="364"/>
        <w:jc w:val="both"/>
        <w:rPr>
          <w:rFonts w:cs="Calibri"/>
          <w:sz w:val="20"/>
          <w:szCs w:val="20"/>
        </w:rPr>
      </w:pPr>
      <w:r>
        <w:rPr>
          <w:rFonts w:cs="Calibri"/>
          <w:sz w:val="20"/>
          <w:szCs w:val="20"/>
        </w:rPr>
        <w:t>Przed przystąpieniem do robót Wykonawca powinien:</w:t>
      </w:r>
    </w:p>
    <w:p>
      <w:pPr>
        <w:pStyle w:val="ListParagraph"/>
        <w:numPr>
          <w:ilvl w:val="0"/>
          <w:numId w:val="3"/>
        </w:numPr>
        <w:spacing w:lineRule="auto" w:line="240" w:before="0" w:after="0"/>
        <w:contextualSpacing/>
        <w:jc w:val="both"/>
        <w:rPr>
          <w:rFonts w:cs="Calibri"/>
          <w:sz w:val="20"/>
          <w:szCs w:val="20"/>
        </w:rPr>
      </w:pPr>
      <w:r>
        <w:rPr>
          <w:rFonts w:cs="Calibri"/>
          <w:sz w:val="20"/>
          <w:szCs w:val="20"/>
        </w:rPr>
        <w:t>uzyskać wymagane dokumenty, dopuszczające wyroby budowlane do obrotu i powszechnego stosowania (np. stwierdzenie o oznakowaniu materiału znakiem CE lub znakiem budowlanym B, certyfikat zgodności, deklarację zgodności, aprobatę techniczną, ew. badania materiałów wykonane przez dostawców itp.),</w:t>
      </w:r>
    </w:p>
    <w:p>
      <w:pPr>
        <w:pStyle w:val="ListParagraph"/>
        <w:numPr>
          <w:ilvl w:val="0"/>
          <w:numId w:val="3"/>
        </w:numPr>
        <w:spacing w:lineRule="auto" w:line="240" w:before="0" w:after="0"/>
        <w:contextualSpacing/>
        <w:jc w:val="both"/>
        <w:rPr>
          <w:rFonts w:cs="Calibri"/>
          <w:sz w:val="20"/>
          <w:szCs w:val="20"/>
        </w:rPr>
      </w:pPr>
      <w:r>
        <w:rPr>
          <w:rFonts w:cs="Calibri"/>
          <w:sz w:val="20"/>
          <w:szCs w:val="20"/>
        </w:rPr>
        <w:t>ew. wykonać własne badania właściwości materiałów przeznaczonych do wykonania robót, określone przez Inżyniera.</w:t>
      </w:r>
    </w:p>
    <w:p>
      <w:pPr>
        <w:pStyle w:val="Normal"/>
        <w:spacing w:lineRule="auto" w:line="240" w:before="0" w:after="0"/>
        <w:ind w:left="364"/>
        <w:jc w:val="both"/>
        <w:rPr>
          <w:rFonts w:cs="Calibri"/>
          <w:sz w:val="20"/>
          <w:szCs w:val="20"/>
        </w:rPr>
      </w:pPr>
      <w:r>
        <w:rPr>
          <w:rFonts w:cs="Calibri"/>
          <w:sz w:val="20"/>
          <w:szCs w:val="20"/>
        </w:rPr>
        <w:t>Wszystkie dokumenty oraz wyniki badań Wykonawca przedstawia Inżynierowi do akceptacji.</w:t>
      </w:r>
    </w:p>
    <w:p>
      <w:pPr>
        <w:pStyle w:val="Normal"/>
        <w:spacing w:lineRule="auto" w:line="240" w:before="0" w:after="0"/>
        <w:ind w:left="364"/>
        <w:jc w:val="both"/>
        <w:rPr>
          <w:rFonts w:cs="Calibri"/>
          <w:sz w:val="20"/>
          <w:szCs w:val="20"/>
        </w:rPr>
      </w:pPr>
      <w:r>
        <w:rPr>
          <w:rFonts w:cs="Calibri"/>
          <w:sz w:val="20"/>
          <w:szCs w:val="20"/>
        </w:rPr>
      </w:r>
    </w:p>
    <w:p>
      <w:pPr>
        <w:pStyle w:val="Normal"/>
        <w:spacing w:lineRule="auto" w:line="240" w:before="0" w:after="0"/>
        <w:jc w:val="both"/>
        <w:rPr>
          <w:rFonts w:cs="Calibri"/>
          <w:sz w:val="20"/>
          <w:szCs w:val="20"/>
        </w:rPr>
      </w:pPr>
      <w:r>
        <w:rPr>
          <w:rFonts w:cs="Calibri"/>
          <w:sz w:val="20"/>
          <w:szCs w:val="20"/>
        </w:rPr>
        <w:t>6.3. Badania w czasie robót</w:t>
      </w:r>
    </w:p>
    <w:p>
      <w:pPr>
        <w:pStyle w:val="Normal"/>
        <w:spacing w:lineRule="auto" w:line="240" w:before="0" w:after="0"/>
        <w:ind w:firstLine="364"/>
        <w:jc w:val="both"/>
        <w:rPr>
          <w:rFonts w:cs="Calibri"/>
          <w:sz w:val="20"/>
          <w:szCs w:val="20"/>
        </w:rPr>
      </w:pPr>
      <w:r>
        <w:rPr>
          <w:rFonts w:cs="Calibri"/>
          <w:sz w:val="20"/>
          <w:szCs w:val="20"/>
        </w:rPr>
        <w:t>6.3.1. Uwagi ogólne</w:t>
      </w:r>
    </w:p>
    <w:p>
      <w:pPr>
        <w:pStyle w:val="Normal"/>
        <w:spacing w:lineRule="auto" w:line="240" w:before="0" w:after="0"/>
        <w:ind w:left="851"/>
        <w:jc w:val="both"/>
        <w:rPr>
          <w:rFonts w:cs="Calibri"/>
          <w:sz w:val="20"/>
          <w:szCs w:val="20"/>
        </w:rPr>
      </w:pPr>
      <w:r>
        <w:rPr>
          <w:rFonts w:cs="Calibri"/>
          <w:sz w:val="20"/>
          <w:szCs w:val="20"/>
        </w:rPr>
        <w:t>Badania dzielą się na:</w:t>
      </w:r>
    </w:p>
    <w:p>
      <w:pPr>
        <w:pStyle w:val="ListParagraph"/>
        <w:numPr>
          <w:ilvl w:val="0"/>
          <w:numId w:val="4"/>
        </w:numPr>
        <w:spacing w:lineRule="auto" w:line="240" w:before="0" w:after="0"/>
        <w:ind w:hanging="252" w:left="1106"/>
        <w:contextualSpacing/>
        <w:jc w:val="both"/>
        <w:rPr>
          <w:rFonts w:cs="Calibri"/>
          <w:sz w:val="20"/>
          <w:szCs w:val="20"/>
        </w:rPr>
      </w:pPr>
      <w:r>
        <w:rPr>
          <w:rFonts w:cs="Calibri"/>
          <w:sz w:val="20"/>
          <w:szCs w:val="20"/>
        </w:rPr>
        <w:t>badania wykonawcy (w ramach własnego nadzoru),</w:t>
      </w:r>
    </w:p>
    <w:p>
      <w:pPr>
        <w:pStyle w:val="ListParagraph"/>
        <w:numPr>
          <w:ilvl w:val="0"/>
          <w:numId w:val="4"/>
        </w:numPr>
        <w:spacing w:lineRule="auto" w:line="240" w:before="0" w:after="0"/>
        <w:ind w:hanging="252" w:left="1106"/>
        <w:contextualSpacing/>
        <w:jc w:val="both"/>
        <w:rPr>
          <w:rFonts w:cs="Calibri"/>
          <w:sz w:val="20"/>
          <w:szCs w:val="20"/>
        </w:rPr>
      </w:pPr>
      <w:r>
        <w:rPr>
          <w:rFonts w:cs="Calibri"/>
          <w:sz w:val="20"/>
          <w:szCs w:val="20"/>
        </w:rPr>
        <w:t>badania kontrolne (w ramach nadzoru zleceniodawcy – Inżyniera).</w:t>
      </w:r>
    </w:p>
    <w:p>
      <w:pPr>
        <w:pStyle w:val="Normal"/>
        <w:spacing w:lineRule="auto" w:line="240" w:before="0" w:after="0"/>
        <w:jc w:val="both"/>
        <w:rPr>
          <w:rFonts w:cs="Calibri"/>
          <w:sz w:val="20"/>
          <w:szCs w:val="20"/>
        </w:rPr>
      </w:pPr>
      <w:r>
        <w:rPr>
          <w:rFonts w:cs="Calibri"/>
          <w:sz w:val="20"/>
          <w:szCs w:val="20"/>
        </w:rPr>
        <w:t>6.3.2. Badania Wykonawcy</w:t>
      </w:r>
    </w:p>
    <w:p>
      <w:pPr>
        <w:pStyle w:val="Normal"/>
        <w:spacing w:lineRule="auto" w:line="240" w:before="0" w:after="0"/>
        <w:ind w:left="364"/>
        <w:jc w:val="both"/>
        <w:rPr>
          <w:rFonts w:cs="Calibri"/>
          <w:sz w:val="20"/>
          <w:szCs w:val="20"/>
        </w:rPr>
      </w:pPr>
      <w:r>
        <w:rPr>
          <w:rFonts w:cs="Calibri"/>
          <w:sz w:val="20"/>
          <w:szCs w:val="20"/>
        </w:rPr>
        <w:t>Badania Wykonawcy są wykonywane przez Wykonawcę lub jego zleceniobiorców celem sprawdzenia, czy jakość materiałów budowlanych (mieszanek mineralno-asfaltowych i ich składników, lepiszczy i materiałów do uszczelnień itp.) oraz gotowej warstwy (wbudowane warstwy asfaltowe, połączenia itp.) spełniają wymagania określone w kontrakcie.</w:t>
      </w:r>
    </w:p>
    <w:p>
      <w:pPr>
        <w:pStyle w:val="Normal"/>
        <w:spacing w:lineRule="auto" w:line="240" w:before="0" w:after="0"/>
        <w:ind w:left="364"/>
        <w:jc w:val="both"/>
        <w:rPr>
          <w:rFonts w:cs="Calibri"/>
          <w:sz w:val="20"/>
          <w:szCs w:val="20"/>
        </w:rPr>
      </w:pPr>
      <w:r>
        <w:rPr>
          <w:rFonts w:cs="Calibri"/>
          <w:sz w:val="20"/>
          <w:szCs w:val="20"/>
        </w:rPr>
        <w:t xml:space="preserve">Wykonawca powinien wykonywać te badania podczas realizacji kontraktu, z niezbędną starannością </w:t>
        <w:br/>
        <w:t>i w wymaganym zakresie. Wyniki należy zapisywać w protokołach. W razie stwierdzenia uchybień w stosunku do</w:t>
      </w:r>
    </w:p>
    <w:p>
      <w:pPr>
        <w:pStyle w:val="Normal"/>
        <w:spacing w:lineRule="auto" w:line="240" w:before="0" w:after="0"/>
        <w:ind w:left="364"/>
        <w:jc w:val="both"/>
        <w:rPr>
          <w:rFonts w:cs="Calibri"/>
          <w:sz w:val="20"/>
          <w:szCs w:val="20"/>
        </w:rPr>
      </w:pPr>
      <w:r>
        <w:rPr>
          <w:rFonts w:cs="Calibri"/>
          <w:sz w:val="20"/>
          <w:szCs w:val="20"/>
        </w:rPr>
        <w:t>wymagań kontraktu, ich przyczyny należy niezwłocznie usunąć.</w:t>
      </w:r>
    </w:p>
    <w:p>
      <w:pPr>
        <w:pStyle w:val="Normal"/>
        <w:spacing w:lineRule="auto" w:line="240" w:before="0" w:after="0"/>
        <w:ind w:left="364"/>
        <w:jc w:val="both"/>
        <w:rPr>
          <w:rFonts w:cs="Calibri"/>
          <w:sz w:val="20"/>
          <w:szCs w:val="20"/>
        </w:rPr>
      </w:pPr>
      <w:r>
        <w:rPr>
          <w:rFonts w:cs="Calibri"/>
          <w:sz w:val="20"/>
          <w:szCs w:val="20"/>
        </w:rPr>
        <w:t xml:space="preserve">Wyniki badań Wykonawcy należy przekazywać zleceniodawcy na jego żądanie. Inżynier może zdecydować </w:t>
        <w:br/>
        <w:t>o dokonaniu odbioru na podstawie badań Wykonawcy. W razie zastrzeżeń Inżynier może przeprowadzić badania kontrolne według pktu 6.3.3.</w:t>
      </w:r>
    </w:p>
    <w:p>
      <w:pPr>
        <w:pStyle w:val="Normal"/>
        <w:spacing w:lineRule="auto" w:line="240" w:before="0" w:after="0"/>
        <w:ind w:left="364"/>
        <w:jc w:val="both"/>
        <w:rPr>
          <w:rFonts w:cs="Calibri"/>
          <w:sz w:val="20"/>
          <w:szCs w:val="20"/>
        </w:rPr>
      </w:pPr>
      <w:r>
        <w:rPr>
          <w:rFonts w:cs="Calibri"/>
          <w:sz w:val="20"/>
          <w:szCs w:val="20"/>
        </w:rPr>
        <w:t>Zakres badań Wykonawcy związany z wykonywaniem nawierzchni:</w:t>
      </w:r>
    </w:p>
    <w:p>
      <w:pPr>
        <w:pStyle w:val="Normal"/>
        <w:spacing w:lineRule="auto" w:line="240" w:before="0" w:after="0"/>
        <w:ind w:left="364"/>
        <w:jc w:val="both"/>
        <w:rPr>
          <w:rFonts w:cs="Calibri"/>
          <w:sz w:val="20"/>
          <w:szCs w:val="20"/>
        </w:rPr>
      </w:pPr>
      <w:r>
        <w:rPr>
          <w:rFonts w:cs="Calibri"/>
          <w:sz w:val="20"/>
          <w:szCs w:val="20"/>
        </w:rPr>
        <w:t xml:space="preserve">– </w:t>
      </w:r>
      <w:r>
        <w:rPr>
          <w:rFonts w:cs="Calibri"/>
          <w:sz w:val="20"/>
          <w:szCs w:val="20"/>
        </w:rPr>
        <w:t>pomiar temperatury powietrza,</w:t>
      </w:r>
    </w:p>
    <w:p>
      <w:pPr>
        <w:pStyle w:val="Normal"/>
        <w:spacing w:lineRule="auto" w:line="240" w:before="0" w:after="0"/>
        <w:ind w:left="364"/>
        <w:jc w:val="both"/>
        <w:rPr>
          <w:rFonts w:cs="Calibri"/>
          <w:sz w:val="16"/>
          <w:szCs w:val="20"/>
        </w:rPr>
      </w:pPr>
      <w:r>
        <w:rPr>
          <w:rFonts w:cs="Calibri"/>
          <w:sz w:val="20"/>
          <w:szCs w:val="20"/>
        </w:rPr>
        <w:t xml:space="preserve">– </w:t>
      </w:r>
      <w:r>
        <w:rPr>
          <w:rFonts w:cs="Calibri"/>
          <w:sz w:val="20"/>
          <w:szCs w:val="20"/>
        </w:rPr>
        <w:t xml:space="preserve">pomiar temperatury mieszanki mineralno-asfaltowej podczas wykonywania nawierzchni </w:t>
      </w:r>
      <w:r>
        <w:rPr>
          <w:rFonts w:cs="Calibri"/>
          <w:sz w:val="16"/>
          <w:szCs w:val="20"/>
        </w:rPr>
        <w:t>(wg PN-EN 12697-13 [36]),</w:t>
      </w:r>
    </w:p>
    <w:p>
      <w:pPr>
        <w:pStyle w:val="Normal"/>
        <w:spacing w:lineRule="auto" w:line="240" w:before="0" w:after="0"/>
        <w:ind w:left="364"/>
        <w:jc w:val="both"/>
        <w:rPr>
          <w:rFonts w:cs="Calibri"/>
          <w:sz w:val="20"/>
          <w:szCs w:val="20"/>
        </w:rPr>
      </w:pPr>
      <w:r>
        <w:rPr>
          <w:rFonts w:cs="Calibri"/>
          <w:sz w:val="20"/>
          <w:szCs w:val="20"/>
        </w:rPr>
        <w:t xml:space="preserve">– </w:t>
      </w:r>
      <w:r>
        <w:rPr>
          <w:rFonts w:cs="Calibri"/>
          <w:sz w:val="20"/>
          <w:szCs w:val="20"/>
        </w:rPr>
        <w:t>ocena wizualna mieszanki mineralno-asfaltowej,</w:t>
      </w:r>
    </w:p>
    <w:p>
      <w:pPr>
        <w:pStyle w:val="Normal"/>
        <w:spacing w:lineRule="auto" w:line="240" w:before="0" w:after="0"/>
        <w:ind w:left="364"/>
        <w:jc w:val="both"/>
        <w:rPr>
          <w:rFonts w:cs="Calibri"/>
          <w:sz w:val="20"/>
          <w:szCs w:val="20"/>
        </w:rPr>
      </w:pPr>
      <w:r>
        <w:rPr>
          <w:rFonts w:cs="Calibri"/>
          <w:sz w:val="20"/>
          <w:szCs w:val="20"/>
        </w:rPr>
        <w:t xml:space="preserve">– </w:t>
      </w:r>
      <w:r>
        <w:rPr>
          <w:rFonts w:cs="Calibri"/>
          <w:sz w:val="20"/>
          <w:szCs w:val="20"/>
        </w:rPr>
        <w:t>wykaz ilości materiałów lub grubości wykonanej warstwy,</w:t>
      </w:r>
    </w:p>
    <w:p>
      <w:pPr>
        <w:pStyle w:val="Normal"/>
        <w:spacing w:lineRule="auto" w:line="240" w:before="0" w:after="0"/>
        <w:ind w:left="364"/>
        <w:jc w:val="both"/>
        <w:rPr>
          <w:rFonts w:cs="Calibri"/>
          <w:sz w:val="20"/>
          <w:szCs w:val="20"/>
        </w:rPr>
      </w:pPr>
      <w:r>
        <w:rPr>
          <w:rFonts w:cs="Calibri"/>
          <w:sz w:val="20"/>
          <w:szCs w:val="20"/>
        </w:rPr>
        <w:t xml:space="preserve">– </w:t>
      </w:r>
      <w:r>
        <w:rPr>
          <w:rFonts w:cs="Calibri"/>
          <w:sz w:val="20"/>
          <w:szCs w:val="20"/>
        </w:rPr>
        <w:t>pomiar spadku poprzecznego warstwy asfaltowej,</w:t>
      </w:r>
    </w:p>
    <w:p>
      <w:pPr>
        <w:pStyle w:val="Normal"/>
        <w:spacing w:lineRule="auto" w:line="240" w:before="0" w:after="0"/>
        <w:ind w:left="364"/>
        <w:jc w:val="both"/>
        <w:rPr>
          <w:rFonts w:cs="Calibri"/>
          <w:sz w:val="20"/>
          <w:szCs w:val="20"/>
        </w:rPr>
      </w:pPr>
      <w:r>
        <w:rPr>
          <w:rFonts w:cs="Calibri"/>
          <w:sz w:val="20"/>
          <w:szCs w:val="20"/>
        </w:rPr>
        <w:t xml:space="preserve">– </w:t>
      </w:r>
      <w:r>
        <w:rPr>
          <w:rFonts w:cs="Calibri"/>
          <w:sz w:val="20"/>
          <w:szCs w:val="20"/>
        </w:rPr>
        <w:t>pomiar równości warstwy asfaltowej (wg pktu 6.4.2.5),</w:t>
      </w:r>
    </w:p>
    <w:p>
      <w:pPr>
        <w:pStyle w:val="Normal"/>
        <w:spacing w:lineRule="auto" w:line="240" w:before="0" w:after="0"/>
        <w:ind w:left="364"/>
        <w:jc w:val="both"/>
        <w:rPr>
          <w:rFonts w:cs="Calibri"/>
          <w:sz w:val="20"/>
          <w:szCs w:val="20"/>
        </w:rPr>
      </w:pPr>
      <w:r>
        <w:rPr>
          <w:rFonts w:cs="Calibri"/>
          <w:sz w:val="20"/>
          <w:szCs w:val="20"/>
        </w:rPr>
        <w:t xml:space="preserve">– </w:t>
      </w:r>
      <w:r>
        <w:rPr>
          <w:rFonts w:cs="Calibri"/>
          <w:sz w:val="20"/>
          <w:szCs w:val="20"/>
        </w:rPr>
        <w:t>pomiar parametrów geometrycznych poboczy,</w:t>
      </w:r>
    </w:p>
    <w:p>
      <w:pPr>
        <w:pStyle w:val="Normal"/>
        <w:spacing w:lineRule="auto" w:line="240" w:before="0" w:after="0"/>
        <w:ind w:left="364"/>
        <w:jc w:val="both"/>
        <w:rPr>
          <w:rFonts w:cs="Calibri"/>
          <w:sz w:val="20"/>
          <w:szCs w:val="20"/>
        </w:rPr>
      </w:pPr>
      <w:r>
        <w:rPr>
          <w:rFonts w:cs="Calibri"/>
          <w:sz w:val="20"/>
          <w:szCs w:val="20"/>
        </w:rPr>
        <w:t xml:space="preserve">– </w:t>
      </w:r>
      <w:r>
        <w:rPr>
          <w:rFonts w:cs="Calibri"/>
          <w:sz w:val="20"/>
          <w:szCs w:val="20"/>
        </w:rPr>
        <w:t>ocena wizualna jednorodności powierzchni warstwy,</w:t>
      </w:r>
    </w:p>
    <w:p>
      <w:pPr>
        <w:pStyle w:val="Normal"/>
        <w:spacing w:lineRule="auto" w:line="240" w:before="0" w:after="0"/>
        <w:ind w:left="364"/>
        <w:jc w:val="both"/>
        <w:rPr>
          <w:rFonts w:cs="Calibri"/>
          <w:sz w:val="20"/>
          <w:szCs w:val="20"/>
        </w:rPr>
      </w:pPr>
      <w:r>
        <w:rPr>
          <w:rFonts w:cs="Calibri"/>
          <w:sz w:val="20"/>
          <w:szCs w:val="20"/>
        </w:rPr>
        <w:t xml:space="preserve">– </w:t>
      </w:r>
      <w:r>
        <w:rPr>
          <w:rFonts w:cs="Calibri"/>
          <w:sz w:val="20"/>
          <w:szCs w:val="20"/>
        </w:rPr>
        <w:t>ocena wizualna jakości wykonania połączeń technologicznych.</w:t>
      </w:r>
    </w:p>
    <w:p>
      <w:pPr>
        <w:pStyle w:val="Normal"/>
        <w:spacing w:lineRule="auto" w:line="240" w:before="0" w:after="0"/>
        <w:ind w:left="364"/>
        <w:jc w:val="both"/>
        <w:rPr>
          <w:rFonts w:cs="Calibri"/>
          <w:sz w:val="20"/>
          <w:szCs w:val="20"/>
        </w:rPr>
      </w:pPr>
      <w:r>
        <w:rPr>
          <w:rFonts w:cs="Calibri"/>
          <w:sz w:val="20"/>
          <w:szCs w:val="20"/>
        </w:rPr>
      </w:r>
    </w:p>
    <w:p>
      <w:pPr>
        <w:pStyle w:val="Normal"/>
        <w:spacing w:lineRule="auto" w:line="240" w:before="0" w:after="0"/>
        <w:jc w:val="both"/>
        <w:rPr>
          <w:rFonts w:cs="Calibri"/>
          <w:sz w:val="20"/>
          <w:szCs w:val="20"/>
        </w:rPr>
      </w:pPr>
      <w:r>
        <w:rPr>
          <w:rFonts w:cs="Calibri"/>
          <w:sz w:val="20"/>
          <w:szCs w:val="20"/>
        </w:rPr>
        <w:t>6.3.3. Badania kontrolne</w:t>
      </w:r>
    </w:p>
    <w:p>
      <w:pPr>
        <w:pStyle w:val="Normal"/>
        <w:spacing w:lineRule="auto" w:line="240" w:before="0" w:after="0"/>
        <w:ind w:left="364"/>
        <w:jc w:val="both"/>
        <w:rPr>
          <w:rFonts w:cs="Calibri"/>
          <w:sz w:val="20"/>
          <w:szCs w:val="20"/>
        </w:rPr>
      </w:pPr>
      <w:r>
        <w:rPr>
          <w:rFonts w:cs="Calibri"/>
          <w:sz w:val="20"/>
          <w:szCs w:val="20"/>
        </w:rPr>
        <w:t xml:space="preserve">Badania kontrolne są badaniami Inżyniera, których celem jest sprawdzenie, czy jakość materiałów budowlanych (mieszanek mineralno-asfaltowych i ich składników, lepiszczy i materiałów do uszczelnień itp.) oraz gotowej warstwy (wbudowane warstwy asfaltowe, połączenia itp.) spełniają wymagania określone w kontrakcie. </w:t>
      </w:r>
    </w:p>
    <w:p>
      <w:pPr>
        <w:pStyle w:val="Normal"/>
        <w:spacing w:lineRule="auto" w:line="240" w:before="0" w:after="0"/>
        <w:ind w:left="364"/>
        <w:jc w:val="both"/>
        <w:rPr>
          <w:rFonts w:cs="Calibri"/>
          <w:sz w:val="20"/>
          <w:szCs w:val="20"/>
        </w:rPr>
      </w:pPr>
      <w:r>
        <w:rPr>
          <w:rFonts w:cs="Calibri"/>
          <w:sz w:val="20"/>
          <w:szCs w:val="20"/>
        </w:rPr>
        <w:t>Wyniki tych badań są podstawą odbioru. Pobieraniem próbek i wykonaniem badań na miejscu budowy zajmuje się Inżynier w obecności Wykonawcy. Badania odbywają się również wtedy, gdy Wykonawca zostanie w porę powiadomiony o ich terminie, jednak nie będzie przy nich obecny.</w:t>
      </w:r>
    </w:p>
    <w:p>
      <w:pPr>
        <w:pStyle w:val="Normal"/>
        <w:spacing w:lineRule="auto" w:line="240" w:before="0" w:after="0"/>
        <w:ind w:left="364"/>
        <w:jc w:val="both"/>
        <w:rPr>
          <w:rFonts w:cs="Calibri"/>
          <w:sz w:val="20"/>
          <w:szCs w:val="20"/>
        </w:rPr>
      </w:pPr>
      <w:r>
        <w:rPr>
          <w:rFonts w:cs="Calibri"/>
          <w:sz w:val="20"/>
          <w:szCs w:val="20"/>
        </w:rPr>
        <w:t>Rodzaj badań kontrolnych mieszanki mineralno-asfaltowej i wykonanej z niej warstwy podano w tablicy 15.</w:t>
      </w:r>
    </w:p>
    <w:p>
      <w:pPr>
        <w:pStyle w:val="Normal"/>
        <w:spacing w:lineRule="auto" w:line="240" w:before="0" w:after="0"/>
        <w:ind w:left="364"/>
        <w:jc w:val="both"/>
        <w:rPr>
          <w:rFonts w:cs="Calibri"/>
          <w:sz w:val="20"/>
          <w:szCs w:val="20"/>
        </w:rPr>
      </w:pPr>
      <w:r>
        <w:rPr>
          <w:rFonts w:cs="Calibri"/>
          <w:sz w:val="20"/>
          <w:szCs w:val="20"/>
        </w:rPr>
      </w:r>
    </w:p>
    <w:p>
      <w:pPr>
        <w:pStyle w:val="Normal"/>
        <w:spacing w:lineRule="auto" w:line="240" w:before="0" w:after="0"/>
        <w:ind w:left="364"/>
        <w:jc w:val="both"/>
        <w:rPr>
          <w:rFonts w:cs="Calibri"/>
          <w:i/>
          <w:i/>
          <w:sz w:val="18"/>
          <w:szCs w:val="20"/>
        </w:rPr>
      </w:pPr>
      <w:r>
        <w:rPr>
          <w:rFonts w:cs="Calibri"/>
          <w:i/>
          <w:sz w:val="16"/>
          <w:szCs w:val="20"/>
        </w:rPr>
        <w:t>T</w:t>
      </w:r>
      <w:r>
        <w:rPr>
          <w:rFonts w:cs="Calibri"/>
          <w:i/>
          <w:sz w:val="18"/>
          <w:szCs w:val="20"/>
        </w:rPr>
        <w:t>ablica 15. Rodzaj badań kontrolnych</w:t>
      </w:r>
    </w:p>
    <w:p>
      <w:pPr>
        <w:pStyle w:val="Normal"/>
        <w:spacing w:lineRule="auto" w:line="240" w:before="0" w:after="0"/>
        <w:ind w:left="364"/>
        <w:jc w:val="both"/>
        <w:rPr>
          <w:rFonts w:cs="Calibri"/>
          <w:sz w:val="20"/>
          <w:szCs w:val="20"/>
        </w:rPr>
      </w:pPr>
      <w:r>
        <w:rPr>
          <w:rFonts w:cs="Calibri"/>
          <w:sz w:val="20"/>
          <w:szCs w:val="20"/>
        </w:rPr>
      </w:r>
    </w:p>
    <w:p>
      <w:pPr>
        <w:pStyle w:val="Normal"/>
        <w:spacing w:lineRule="auto" w:line="240" w:before="0" w:after="0"/>
        <w:ind w:left="364"/>
        <w:jc w:val="center"/>
        <w:rPr>
          <w:rFonts w:cs="Calibri"/>
          <w:sz w:val="20"/>
          <w:szCs w:val="20"/>
        </w:rPr>
      </w:pPr>
      <w:r>
        <w:rPr/>
        <w:drawing>
          <wp:inline distT="0" distB="0" distL="0" distR="0">
            <wp:extent cx="4648200" cy="2562225"/>
            <wp:effectExtent l="0" t="0" r="0" b="0"/>
            <wp:docPr id="3" name="Obraz3"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Obraz3" descr=""/>
                    <pic:cNvPicPr>
                      <a:picLocks noChangeAspect="1" noChangeArrowheads="1"/>
                    </pic:cNvPicPr>
                  </pic:nvPicPr>
                  <pic:blipFill>
                    <a:blip r:embed="rId4"/>
                    <a:stretch>
                      <a:fillRect/>
                    </a:stretch>
                  </pic:blipFill>
                  <pic:spPr bwMode="auto">
                    <a:xfrm>
                      <a:off x="0" y="0"/>
                      <a:ext cx="4648200" cy="2562225"/>
                    </a:xfrm>
                    <a:prstGeom prst="rect">
                      <a:avLst/>
                    </a:prstGeom>
                  </pic:spPr>
                </pic:pic>
              </a:graphicData>
            </a:graphic>
          </wp:inline>
        </w:drawing>
      </w:r>
    </w:p>
    <w:p>
      <w:pPr>
        <w:pStyle w:val="Normal"/>
        <w:spacing w:lineRule="auto" w:line="240" w:before="0" w:after="0"/>
        <w:ind w:left="364"/>
        <w:jc w:val="both"/>
        <w:rPr>
          <w:rFonts w:cs="Calibri"/>
          <w:sz w:val="20"/>
          <w:szCs w:val="20"/>
        </w:rPr>
      </w:pPr>
      <w:r>
        <w:rPr>
          <w:rFonts w:cs="Calibri"/>
          <w:sz w:val="20"/>
          <w:szCs w:val="20"/>
        </w:rPr>
      </w:r>
    </w:p>
    <w:p>
      <w:pPr>
        <w:pStyle w:val="Normal"/>
        <w:spacing w:lineRule="auto" w:line="240" w:before="0" w:after="0"/>
        <w:jc w:val="both"/>
        <w:rPr>
          <w:rFonts w:cs="Calibri"/>
          <w:sz w:val="20"/>
          <w:szCs w:val="20"/>
        </w:rPr>
      </w:pPr>
      <w:r>
        <w:rPr>
          <w:rFonts w:cs="Calibri"/>
          <w:sz w:val="20"/>
          <w:szCs w:val="20"/>
        </w:rPr>
        <w:t>6.3.4. Badania kontrolne dodatkowe</w:t>
      </w:r>
    </w:p>
    <w:p>
      <w:pPr>
        <w:pStyle w:val="Normal"/>
        <w:spacing w:lineRule="auto" w:line="240" w:before="0" w:after="0"/>
        <w:ind w:left="364"/>
        <w:jc w:val="both"/>
        <w:rPr>
          <w:rFonts w:cs="Calibri"/>
          <w:sz w:val="20"/>
          <w:szCs w:val="20"/>
        </w:rPr>
      </w:pPr>
      <w:r>
        <w:rPr>
          <w:rFonts w:cs="Calibri"/>
          <w:sz w:val="20"/>
          <w:szCs w:val="20"/>
        </w:rPr>
        <w:t>W wypadku uznania, że jeden z wyników badań kontrolnych nie jest reprezentatywny dla ocenianego odcinka budowy, Wykonawca ma prawo żądać przeprowadzenia badań kontrolnych dodatkowych.</w:t>
      </w:r>
    </w:p>
    <w:p>
      <w:pPr>
        <w:pStyle w:val="Normal"/>
        <w:spacing w:lineRule="auto" w:line="240" w:before="0" w:after="0"/>
        <w:ind w:left="364"/>
        <w:jc w:val="both"/>
        <w:rPr>
          <w:rFonts w:cs="Calibri"/>
          <w:sz w:val="20"/>
          <w:szCs w:val="20"/>
        </w:rPr>
      </w:pPr>
      <w:r>
        <w:rPr>
          <w:rFonts w:cs="Calibri"/>
          <w:sz w:val="20"/>
          <w:szCs w:val="20"/>
        </w:rPr>
        <w:t xml:space="preserve">Inżynier i Wykonawca decydują wspólnie o miejscach pobierania próbek i wyznaczeniu odcinków częściowych ocenianego odcinka budowy. Jeżeli odcinek częściowy przyporządkowany do badań kontrolnych nie może być jednoznacznie i zgodnie wyznaczony, to odcinek ten nie powinien być mniejszy niż 20% ocenianego odcinka budowy. </w:t>
      </w:r>
    </w:p>
    <w:p>
      <w:pPr>
        <w:pStyle w:val="Normal"/>
        <w:spacing w:lineRule="auto" w:line="240" w:before="0" w:after="0"/>
        <w:ind w:left="364"/>
        <w:jc w:val="both"/>
        <w:rPr>
          <w:rFonts w:cs="Calibri"/>
          <w:sz w:val="20"/>
          <w:szCs w:val="20"/>
        </w:rPr>
      </w:pPr>
      <w:r>
        <w:rPr>
          <w:rFonts w:cs="Calibri"/>
          <w:sz w:val="20"/>
          <w:szCs w:val="20"/>
        </w:rPr>
        <w:t>Do odbioru uwzględniane są wyniki badań kontrolnych i badań kontrolnych dodatkowych do wyznaczonych odcinków częściowych. Koszty badań kontrolnych dodatkowych zażądanych przez Wykonawcę ponosi Wykonawca.</w:t>
      </w:r>
    </w:p>
    <w:p>
      <w:pPr>
        <w:pStyle w:val="Normal"/>
        <w:spacing w:lineRule="auto" w:line="240" w:before="0" w:after="0"/>
        <w:ind w:left="364"/>
        <w:jc w:val="both"/>
        <w:rPr>
          <w:rFonts w:cs="Calibri"/>
          <w:sz w:val="20"/>
          <w:szCs w:val="20"/>
        </w:rPr>
      </w:pPr>
      <w:r>
        <w:rPr>
          <w:rFonts w:cs="Calibri"/>
          <w:sz w:val="20"/>
          <w:szCs w:val="20"/>
        </w:rPr>
      </w:r>
    </w:p>
    <w:p>
      <w:pPr>
        <w:pStyle w:val="Normal"/>
        <w:spacing w:lineRule="auto" w:line="240" w:before="0" w:after="0"/>
        <w:ind w:hanging="364" w:left="364"/>
        <w:jc w:val="both"/>
        <w:rPr>
          <w:rFonts w:cs="Calibri"/>
          <w:sz w:val="20"/>
          <w:szCs w:val="20"/>
        </w:rPr>
      </w:pPr>
      <w:r>
        <w:rPr>
          <w:rFonts w:cs="Calibri"/>
          <w:sz w:val="20"/>
          <w:szCs w:val="20"/>
        </w:rPr>
        <w:t>6.4. Właściwości warstwy i nawierzchni oraz dopuszczalne odchyłki</w:t>
      </w:r>
    </w:p>
    <w:p>
      <w:pPr>
        <w:pStyle w:val="Normal"/>
        <w:spacing w:lineRule="auto" w:line="240" w:before="0" w:after="0"/>
        <w:ind w:left="364"/>
        <w:jc w:val="both"/>
        <w:rPr>
          <w:rFonts w:cs="Calibri"/>
          <w:sz w:val="20"/>
          <w:szCs w:val="20"/>
        </w:rPr>
      </w:pPr>
      <w:r>
        <w:rPr>
          <w:rFonts w:cs="Calibri"/>
          <w:sz w:val="20"/>
          <w:szCs w:val="20"/>
        </w:rPr>
        <w:t>6.4.1. Mieszanka mineralno-asfaltowa</w:t>
      </w:r>
    </w:p>
    <w:p>
      <w:pPr>
        <w:pStyle w:val="Normal"/>
        <w:spacing w:lineRule="auto" w:line="240" w:before="0" w:after="0"/>
        <w:ind w:left="364"/>
        <w:jc w:val="both"/>
        <w:rPr>
          <w:rFonts w:cs="Calibri"/>
          <w:sz w:val="20"/>
          <w:szCs w:val="20"/>
        </w:rPr>
      </w:pPr>
      <w:r>
        <w:rPr>
          <w:rFonts w:cs="Calibri"/>
          <w:sz w:val="20"/>
          <w:szCs w:val="20"/>
        </w:rPr>
        <w:t>Właściwości materiałów należy oceniać na podstawie badań pobranych próbek mieszanki mineralnoasfaltowej</w:t>
      </w:r>
    </w:p>
    <w:p>
      <w:pPr>
        <w:pStyle w:val="Normal"/>
        <w:spacing w:lineRule="auto" w:line="240" w:before="0" w:after="0"/>
        <w:ind w:left="364"/>
        <w:jc w:val="both"/>
        <w:rPr>
          <w:rFonts w:cs="Calibri"/>
          <w:sz w:val="20"/>
          <w:szCs w:val="20"/>
        </w:rPr>
      </w:pPr>
      <w:r>
        <w:rPr>
          <w:rFonts w:cs="Calibri"/>
          <w:sz w:val="20"/>
          <w:szCs w:val="20"/>
        </w:rPr>
        <w:t>przed wbudowaniem (wbudowanie oznacza wykonanie warstwy asfaltowej). Wyjątkowo dopuszcza się badania próbek pobranych z wykonanej warstwy asfaltowej.</w:t>
      </w:r>
    </w:p>
    <w:p>
      <w:pPr>
        <w:pStyle w:val="Normal"/>
        <w:spacing w:lineRule="auto" w:line="240" w:before="0" w:after="0"/>
        <w:ind w:left="364"/>
        <w:jc w:val="both"/>
        <w:rPr>
          <w:rFonts w:cs="Calibri"/>
          <w:sz w:val="20"/>
          <w:szCs w:val="20"/>
        </w:rPr>
      </w:pPr>
      <w:r>
        <w:rPr>
          <w:rFonts w:cs="Calibri"/>
          <w:sz w:val="20"/>
          <w:szCs w:val="20"/>
        </w:rPr>
      </w:r>
    </w:p>
    <w:p>
      <w:pPr>
        <w:pStyle w:val="Normal"/>
        <w:spacing w:lineRule="auto" w:line="240" w:before="0" w:after="0"/>
        <w:ind w:left="364"/>
        <w:jc w:val="both"/>
        <w:rPr>
          <w:rFonts w:cs="Calibri"/>
          <w:sz w:val="20"/>
          <w:szCs w:val="20"/>
        </w:rPr>
      </w:pPr>
      <w:r>
        <w:rPr>
          <w:rFonts w:cs="Calibri"/>
          <w:sz w:val="20"/>
          <w:szCs w:val="20"/>
        </w:rPr>
        <w:t>6.4.2. Warstwa asfaltowa</w:t>
      </w:r>
    </w:p>
    <w:p>
      <w:pPr>
        <w:pStyle w:val="Normal"/>
        <w:spacing w:lineRule="auto" w:line="240" w:before="0" w:after="0"/>
        <w:ind w:left="364"/>
        <w:jc w:val="both"/>
        <w:rPr>
          <w:rFonts w:cs="Calibri"/>
          <w:sz w:val="20"/>
          <w:szCs w:val="20"/>
        </w:rPr>
      </w:pPr>
      <w:r>
        <w:rPr>
          <w:rFonts w:cs="Calibri"/>
          <w:sz w:val="20"/>
          <w:szCs w:val="20"/>
        </w:rPr>
      </w:r>
    </w:p>
    <w:p>
      <w:pPr>
        <w:pStyle w:val="Normal"/>
        <w:spacing w:lineRule="auto" w:line="240" w:before="0" w:after="0"/>
        <w:ind w:left="364"/>
        <w:jc w:val="both"/>
        <w:rPr>
          <w:rFonts w:cs="Calibri"/>
          <w:sz w:val="20"/>
          <w:szCs w:val="20"/>
        </w:rPr>
      </w:pPr>
      <w:r>
        <w:rPr>
          <w:rFonts w:cs="Calibri"/>
          <w:sz w:val="20"/>
          <w:szCs w:val="20"/>
        </w:rPr>
        <w:t>6.4.2.1. Grubość warstwy oraz ilość materiału</w:t>
      </w:r>
    </w:p>
    <w:p>
      <w:pPr>
        <w:pStyle w:val="Normal"/>
        <w:spacing w:lineRule="auto" w:line="240" w:before="0" w:after="0"/>
        <w:ind w:left="1050"/>
        <w:jc w:val="both"/>
        <w:rPr>
          <w:rFonts w:cs="Calibri"/>
          <w:sz w:val="20"/>
          <w:szCs w:val="20"/>
        </w:rPr>
      </w:pPr>
      <w:r>
        <w:rPr>
          <w:rFonts w:cs="Calibri"/>
          <w:sz w:val="20"/>
          <w:szCs w:val="20"/>
        </w:rPr>
        <w:t xml:space="preserve">Grubość wykonanej warstwy oznaczana według PN-EN 12697-36 [40] oraz ilość wbudowanego materiału na określoną powierzchnię (dotyczy przede wszystkim cienkich warstw) mogą odbiegać od projektu </w:t>
        <w:br/>
        <w:t>o wartości podane w tablicy 16.</w:t>
      </w:r>
    </w:p>
    <w:p>
      <w:pPr>
        <w:pStyle w:val="Normal"/>
        <w:spacing w:lineRule="auto" w:line="240" w:before="0" w:after="0"/>
        <w:ind w:left="1050"/>
        <w:jc w:val="both"/>
        <w:rPr>
          <w:rFonts w:cs="Calibri"/>
          <w:sz w:val="20"/>
          <w:szCs w:val="20"/>
        </w:rPr>
      </w:pPr>
      <w:r>
        <w:rPr>
          <w:rFonts w:cs="Calibri"/>
          <w:sz w:val="20"/>
          <w:szCs w:val="20"/>
        </w:rPr>
        <w:t>W wypadku określania ilości materiału na powierzchnię i średniej wartości grubości warstwy z reguły należy przyjąć za podstawę cały odcinek budowy. Inżynier ma prawo sprawdzać odcinki częściowe. Odcinek częściowy powinien zawierać co najmniej jedną dzienną działkę roboczą. Do odcinka częściowego obowiązują te same wymagania jak do odcinka budowy.</w:t>
      </w:r>
    </w:p>
    <w:p>
      <w:pPr>
        <w:pStyle w:val="Normal"/>
        <w:spacing w:lineRule="auto" w:line="240" w:before="0" w:after="0"/>
        <w:ind w:left="1050"/>
        <w:jc w:val="both"/>
        <w:rPr>
          <w:rFonts w:cs="Calibri"/>
          <w:sz w:val="20"/>
          <w:szCs w:val="20"/>
        </w:rPr>
      </w:pPr>
      <w:r>
        <w:rPr>
          <w:rFonts w:cs="Calibri"/>
          <w:sz w:val="20"/>
          <w:szCs w:val="20"/>
        </w:rPr>
        <w:t>Za grubość warstwy lub warstw przyjmuje się średnią arytmetyczną wszystkich pojedynczych oznaczeń grubości warstwy na całym odcinku budowy lub odcinku częściowym.</w:t>
      </w:r>
    </w:p>
    <w:p>
      <w:pPr>
        <w:pStyle w:val="Normal"/>
        <w:spacing w:lineRule="auto" w:line="240" w:before="0" w:after="0"/>
        <w:ind w:left="364"/>
        <w:jc w:val="both"/>
        <w:rPr>
          <w:rFonts w:cs="Calibri"/>
          <w:sz w:val="20"/>
          <w:szCs w:val="20"/>
        </w:rPr>
      </w:pPr>
      <w:r>
        <w:rPr>
          <w:rFonts w:cs="Calibri"/>
          <w:sz w:val="20"/>
          <w:szCs w:val="20"/>
        </w:rPr>
      </w:r>
    </w:p>
    <w:p>
      <w:pPr>
        <w:pStyle w:val="Normal"/>
        <w:spacing w:lineRule="auto" w:line="240" w:before="0" w:after="0"/>
        <w:ind w:left="364"/>
        <w:jc w:val="both"/>
        <w:rPr>
          <w:rFonts w:cs="Calibri"/>
          <w:i/>
          <w:i/>
          <w:sz w:val="18"/>
          <w:szCs w:val="20"/>
        </w:rPr>
      </w:pPr>
      <w:r>
        <w:rPr>
          <w:rFonts w:cs="Calibri"/>
          <w:i/>
          <w:sz w:val="18"/>
          <w:szCs w:val="20"/>
        </w:rPr>
        <w:t>Tablica 16. Dopuszczalne odchyłki grubości warstwy oraz ilości materiału na określonej powierzchni, [%] Warunki oceny Warstwa asfaltowa ACa)</w:t>
      </w:r>
    </w:p>
    <w:p>
      <w:pPr>
        <w:pStyle w:val="Normal"/>
        <w:spacing w:lineRule="auto" w:line="240" w:before="0" w:after="0"/>
        <w:ind w:left="364"/>
        <w:jc w:val="both"/>
        <w:rPr>
          <w:rFonts w:cs="Calibri"/>
          <w:sz w:val="20"/>
          <w:szCs w:val="20"/>
        </w:rPr>
      </w:pPr>
      <w:r>
        <w:rPr>
          <w:rFonts w:cs="Calibri"/>
          <w:sz w:val="20"/>
          <w:szCs w:val="20"/>
        </w:rPr>
      </w:r>
    </w:p>
    <w:p>
      <w:pPr>
        <w:pStyle w:val="Normal"/>
        <w:spacing w:lineRule="auto" w:line="240" w:before="0" w:after="0"/>
        <w:ind w:left="364"/>
        <w:jc w:val="center"/>
        <w:rPr>
          <w:rFonts w:cs="Calibri"/>
          <w:sz w:val="20"/>
          <w:szCs w:val="20"/>
        </w:rPr>
      </w:pPr>
      <w:r>
        <w:rPr/>
        <w:drawing>
          <wp:inline distT="0" distB="0" distL="0" distR="0">
            <wp:extent cx="5791200" cy="1619250"/>
            <wp:effectExtent l="0" t="0" r="0" b="0"/>
            <wp:docPr id="4" name="Obraz4"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Obraz4" descr=""/>
                    <pic:cNvPicPr>
                      <a:picLocks noChangeAspect="1" noChangeArrowheads="1"/>
                    </pic:cNvPicPr>
                  </pic:nvPicPr>
                  <pic:blipFill>
                    <a:blip r:embed="rId5"/>
                    <a:stretch>
                      <a:fillRect/>
                    </a:stretch>
                  </pic:blipFill>
                  <pic:spPr bwMode="auto">
                    <a:xfrm>
                      <a:off x="0" y="0"/>
                      <a:ext cx="5791200" cy="1619250"/>
                    </a:xfrm>
                    <a:prstGeom prst="rect">
                      <a:avLst/>
                    </a:prstGeom>
                  </pic:spPr>
                </pic:pic>
              </a:graphicData>
            </a:graphic>
          </wp:inline>
        </w:drawing>
      </w:r>
    </w:p>
    <w:p>
      <w:pPr>
        <w:pStyle w:val="Normal"/>
        <w:spacing w:lineRule="auto" w:line="240" w:before="0" w:after="0"/>
        <w:ind w:left="364"/>
        <w:jc w:val="both"/>
        <w:rPr>
          <w:rFonts w:cs="Calibri"/>
          <w:sz w:val="20"/>
          <w:szCs w:val="20"/>
        </w:rPr>
      </w:pPr>
      <w:r>
        <w:rPr>
          <w:rFonts w:cs="Calibri"/>
          <w:sz w:val="20"/>
          <w:szCs w:val="20"/>
        </w:rPr>
      </w:r>
    </w:p>
    <w:p>
      <w:pPr>
        <w:pStyle w:val="Normal"/>
        <w:spacing w:lineRule="auto" w:line="240" w:before="0" w:after="0"/>
        <w:ind w:left="364"/>
        <w:jc w:val="both"/>
        <w:rPr>
          <w:rFonts w:cs="Calibri"/>
          <w:sz w:val="20"/>
          <w:szCs w:val="20"/>
        </w:rPr>
      </w:pPr>
      <w:r>
        <w:rPr>
          <w:rFonts w:cs="Calibri"/>
          <w:sz w:val="20"/>
          <w:szCs w:val="20"/>
        </w:rPr>
        <w:t>6.4.2.2. Wskaźnik zagęszczenia warstwy</w:t>
      </w:r>
    </w:p>
    <w:p>
      <w:pPr>
        <w:pStyle w:val="Normal"/>
        <w:spacing w:lineRule="auto" w:line="240" w:before="0" w:after="0"/>
        <w:ind w:left="1022"/>
        <w:jc w:val="both"/>
        <w:rPr>
          <w:rFonts w:cs="Calibri"/>
          <w:sz w:val="20"/>
          <w:szCs w:val="20"/>
        </w:rPr>
      </w:pPr>
      <w:r>
        <w:rPr>
          <w:rFonts w:cs="Calibri"/>
          <w:sz w:val="20"/>
          <w:szCs w:val="20"/>
        </w:rPr>
        <w:t>Zagęszczenie wykonanej warstwy, wyrażone wskaźnikiem zagęszczenia oraz zawartością wolnych przestrzeni, nie może przekroczyć wartości dopuszczalnych podanych w tablicy 14. Dotyczy to każdego pojedynczego oznaczenia danej właściwości.</w:t>
      </w:r>
    </w:p>
    <w:p>
      <w:pPr>
        <w:pStyle w:val="Normal"/>
        <w:spacing w:lineRule="auto" w:line="240" w:before="0" w:after="0"/>
        <w:ind w:left="1022"/>
        <w:jc w:val="both"/>
        <w:rPr>
          <w:rFonts w:cs="Calibri"/>
          <w:sz w:val="20"/>
          <w:szCs w:val="20"/>
        </w:rPr>
      </w:pPr>
      <w:r>
        <w:rPr>
          <w:rFonts w:cs="Calibri"/>
          <w:sz w:val="20"/>
          <w:szCs w:val="20"/>
        </w:rPr>
        <w:t>Określenie gęstości objętościowej należy wykonywać według PN-EN 12697-6 [32].</w:t>
      </w:r>
    </w:p>
    <w:p>
      <w:pPr>
        <w:pStyle w:val="Normal"/>
        <w:spacing w:lineRule="auto" w:line="240" w:before="0" w:after="0"/>
        <w:ind w:left="364"/>
        <w:jc w:val="both"/>
        <w:rPr>
          <w:rFonts w:cs="Calibri"/>
          <w:sz w:val="20"/>
          <w:szCs w:val="20"/>
        </w:rPr>
      </w:pPr>
      <w:r>
        <w:rPr>
          <w:rFonts w:cs="Calibri"/>
          <w:sz w:val="20"/>
          <w:szCs w:val="20"/>
        </w:rPr>
      </w:r>
    </w:p>
    <w:p>
      <w:pPr>
        <w:pStyle w:val="Normal"/>
        <w:spacing w:lineRule="auto" w:line="240" w:before="0" w:after="0"/>
        <w:ind w:left="364"/>
        <w:jc w:val="both"/>
        <w:rPr>
          <w:rFonts w:cs="Calibri"/>
          <w:sz w:val="20"/>
          <w:szCs w:val="20"/>
        </w:rPr>
      </w:pPr>
      <w:r>
        <w:rPr>
          <w:rFonts w:cs="Calibri"/>
          <w:sz w:val="20"/>
          <w:szCs w:val="20"/>
        </w:rPr>
        <w:t>6.4.2.3. Zawartość wolnych przestrzeni w nawierzchni</w:t>
      </w:r>
    </w:p>
    <w:p>
      <w:pPr>
        <w:pStyle w:val="Normal"/>
        <w:spacing w:lineRule="auto" w:line="240" w:before="0" w:after="0"/>
        <w:ind w:left="1022"/>
        <w:jc w:val="both"/>
        <w:rPr>
          <w:rFonts w:cs="Calibri"/>
          <w:sz w:val="20"/>
          <w:szCs w:val="20"/>
        </w:rPr>
      </w:pPr>
      <w:r>
        <w:rPr>
          <w:rFonts w:cs="Calibri"/>
          <w:sz w:val="20"/>
          <w:szCs w:val="20"/>
        </w:rPr>
        <w:t>Zawartość wolnych przestrzeni w warstwie nawierzchni, nie może wykroczyć poza wartości dopuszczalne kreślone w tablicy 14.</w:t>
      </w:r>
    </w:p>
    <w:p>
      <w:pPr>
        <w:pStyle w:val="Normal"/>
        <w:spacing w:lineRule="auto" w:line="240" w:before="0" w:after="0"/>
        <w:ind w:left="364"/>
        <w:jc w:val="both"/>
        <w:rPr>
          <w:rFonts w:cs="Calibri"/>
          <w:sz w:val="20"/>
          <w:szCs w:val="20"/>
        </w:rPr>
      </w:pPr>
      <w:r>
        <w:rPr>
          <w:rFonts w:cs="Calibri"/>
          <w:sz w:val="20"/>
          <w:szCs w:val="20"/>
        </w:rPr>
      </w:r>
    </w:p>
    <w:p>
      <w:pPr>
        <w:pStyle w:val="Normal"/>
        <w:spacing w:lineRule="auto" w:line="240" w:before="0" w:after="0"/>
        <w:ind w:left="364"/>
        <w:jc w:val="both"/>
        <w:rPr>
          <w:rFonts w:cs="Calibri"/>
          <w:sz w:val="20"/>
          <w:szCs w:val="20"/>
        </w:rPr>
      </w:pPr>
      <w:r>
        <w:rPr>
          <w:rFonts w:cs="Calibri"/>
          <w:sz w:val="20"/>
          <w:szCs w:val="20"/>
        </w:rPr>
        <w:t>6.4.2.4. Spadki poprzeczne</w:t>
      </w:r>
    </w:p>
    <w:p>
      <w:pPr>
        <w:pStyle w:val="Normal"/>
        <w:spacing w:lineRule="auto" w:line="240" w:before="0" w:after="0"/>
        <w:ind w:left="1022"/>
        <w:jc w:val="both"/>
        <w:rPr>
          <w:rFonts w:cs="Calibri"/>
          <w:sz w:val="20"/>
          <w:szCs w:val="20"/>
        </w:rPr>
      </w:pPr>
      <w:r>
        <w:rPr>
          <w:rFonts w:cs="Calibri"/>
          <w:sz w:val="20"/>
          <w:szCs w:val="20"/>
        </w:rPr>
        <w:t>Spadki poprzeczne nawierzchni należy badać nie rzadziej niż co 20 m oraz w punktach głównych łuków poziomych. Spadki poprzeczne powinny być zgodne z dokumentacją projektową, z tolerancją ± 0,5%.</w:t>
      </w:r>
    </w:p>
    <w:p>
      <w:pPr>
        <w:pStyle w:val="Normal"/>
        <w:spacing w:lineRule="auto" w:line="240" w:before="0" w:after="0"/>
        <w:ind w:left="364"/>
        <w:jc w:val="both"/>
        <w:rPr>
          <w:rFonts w:cs="Calibri"/>
          <w:sz w:val="20"/>
          <w:szCs w:val="20"/>
        </w:rPr>
      </w:pPr>
      <w:r>
        <w:rPr>
          <w:rFonts w:cs="Calibri"/>
          <w:sz w:val="20"/>
          <w:szCs w:val="20"/>
        </w:rPr>
      </w:r>
    </w:p>
    <w:p>
      <w:pPr>
        <w:pStyle w:val="Normal"/>
        <w:spacing w:lineRule="auto" w:line="240" w:before="0" w:after="0"/>
        <w:ind w:left="364"/>
        <w:jc w:val="both"/>
        <w:rPr>
          <w:rFonts w:cs="Calibri"/>
          <w:sz w:val="20"/>
          <w:szCs w:val="20"/>
        </w:rPr>
      </w:pPr>
      <w:r>
        <w:rPr>
          <w:rFonts w:cs="Calibri"/>
          <w:sz w:val="20"/>
          <w:szCs w:val="20"/>
        </w:rPr>
        <w:t>6.4.2.5. Równość podłużna i poprzeczna</w:t>
      </w:r>
    </w:p>
    <w:p>
      <w:pPr>
        <w:pStyle w:val="Normal"/>
        <w:spacing w:lineRule="auto" w:line="240" w:before="0" w:after="0"/>
        <w:ind w:left="1036"/>
        <w:jc w:val="both"/>
        <w:rPr>
          <w:rFonts w:cs="Calibri"/>
          <w:sz w:val="20"/>
          <w:szCs w:val="20"/>
        </w:rPr>
      </w:pPr>
      <w:r>
        <w:rPr>
          <w:rFonts w:cs="Calibri"/>
          <w:sz w:val="20"/>
          <w:szCs w:val="20"/>
        </w:rPr>
        <w:t xml:space="preserve">Pomiary równości podłużnej należy wykonywać w środku każdego ocenianego pasa ruchu. Do oceny równości podłużnej warstwy ścieralnej nawierzchni drogi klasy G i dróg wyższych klas należy stosować metodę pomiaru umożliwiającą obliczanie wskaźnika równości IRI. Wartość IRI oblicza się dla odcinków </w:t>
        <w:br/>
        <w:t xml:space="preserve">o długości 50 m. Dopuszczalne wartości wskaźnika IRI wymagane przy odbiorze nawierzchni określono </w:t>
        <w:br/>
        <w:t>w rozporządzeniu dotyczącym warunków technicznych, jakim powinny odpowiadać drogi publiczne</w:t>
      </w:r>
    </w:p>
    <w:p>
      <w:pPr>
        <w:pStyle w:val="Normal"/>
        <w:spacing w:lineRule="auto" w:line="240" w:before="0" w:after="0"/>
        <w:ind w:left="1036"/>
        <w:jc w:val="both"/>
        <w:rPr>
          <w:rFonts w:cs="Calibri"/>
          <w:sz w:val="20"/>
          <w:szCs w:val="20"/>
        </w:rPr>
      </w:pPr>
      <w:r>
        <w:rPr>
          <w:rFonts w:cs="Calibri"/>
          <w:sz w:val="20"/>
          <w:szCs w:val="20"/>
        </w:rPr>
        <w:t>[67].</w:t>
      </w:r>
    </w:p>
    <w:p>
      <w:pPr>
        <w:pStyle w:val="Normal"/>
        <w:spacing w:lineRule="auto" w:line="240" w:before="0" w:after="0"/>
        <w:ind w:left="1050"/>
        <w:jc w:val="both"/>
        <w:rPr>
          <w:rFonts w:cs="Calibri"/>
          <w:sz w:val="20"/>
          <w:szCs w:val="20"/>
        </w:rPr>
      </w:pPr>
      <w:r>
        <w:rPr>
          <w:rFonts w:cs="Calibri"/>
          <w:sz w:val="20"/>
          <w:szCs w:val="20"/>
        </w:rPr>
        <w:t>Do oceny równości podłużnej warstwy ścieralnej nawierzchni drogi klasy Z, L i D oraz placów i parkingów należy stosować metodę z wykorzystaniem łaty 4-metrowej i klina lub metody równoważnej, mierząc wysokość prześwitu w połowie długości łaty. Pomiar wykonuje się nie rzadziej niż co 10 m. Wymagana równość podłużna jest określona przez wartość odchylenia równości (prześwitu), które nie mogą przekroczyć 6 mm. Przez odchylenie równości rozumie się największą odległość między łatą a mierzoną powierzchnią.</w:t>
      </w:r>
    </w:p>
    <w:p>
      <w:pPr>
        <w:pStyle w:val="Normal"/>
        <w:spacing w:lineRule="auto" w:line="240" w:before="0" w:after="0"/>
        <w:ind w:left="1050"/>
        <w:jc w:val="both"/>
        <w:rPr>
          <w:rFonts w:cs="Calibri"/>
          <w:sz w:val="20"/>
          <w:szCs w:val="20"/>
        </w:rPr>
      </w:pPr>
      <w:r>
        <w:rPr>
          <w:rFonts w:cs="Calibri"/>
          <w:sz w:val="20"/>
          <w:szCs w:val="20"/>
        </w:rPr>
        <w:t xml:space="preserve">Wymagana równość podłużna &lt; 8mm. </w:t>
      </w:r>
    </w:p>
    <w:p>
      <w:pPr>
        <w:pStyle w:val="Normal"/>
        <w:spacing w:lineRule="auto" w:line="240" w:before="0" w:after="0"/>
        <w:ind w:left="1050"/>
        <w:jc w:val="both"/>
        <w:rPr>
          <w:rFonts w:cs="Calibri"/>
          <w:sz w:val="20"/>
          <w:szCs w:val="20"/>
        </w:rPr>
      </w:pPr>
      <w:r>
        <w:rPr>
          <w:rFonts w:cs="Calibri"/>
          <w:sz w:val="20"/>
          <w:szCs w:val="20"/>
        </w:rPr>
        <w:t>Przed upływem okresu gwarancyjnego wartość odchylenia równości podłużnej warstwy ścieralnej</w:t>
      </w:r>
    </w:p>
    <w:p>
      <w:pPr>
        <w:pStyle w:val="Normal"/>
        <w:spacing w:lineRule="auto" w:line="240" w:before="0" w:after="0"/>
        <w:ind w:left="1050"/>
        <w:jc w:val="both"/>
        <w:rPr>
          <w:rFonts w:cs="Calibri"/>
          <w:sz w:val="20"/>
          <w:szCs w:val="20"/>
        </w:rPr>
      </w:pPr>
      <w:r>
        <w:rPr>
          <w:rFonts w:cs="Calibri"/>
          <w:sz w:val="20"/>
          <w:szCs w:val="20"/>
        </w:rPr>
        <w:t>nawierzchni dróg klasy Z i L nie powinna być większa niż 8 mm. Badanie wykonuje się według procedury jak podczas odbioru nawierzchni.</w:t>
      </w:r>
    </w:p>
    <w:p>
      <w:pPr>
        <w:pStyle w:val="Normal"/>
        <w:spacing w:lineRule="auto" w:line="240" w:before="0" w:after="0"/>
        <w:ind w:left="1050"/>
        <w:jc w:val="both"/>
        <w:rPr>
          <w:rFonts w:cs="Calibri"/>
          <w:sz w:val="20"/>
          <w:szCs w:val="20"/>
        </w:rPr>
      </w:pPr>
      <w:r>
        <w:rPr>
          <w:rFonts w:cs="Calibri"/>
          <w:sz w:val="20"/>
          <w:szCs w:val="20"/>
        </w:rPr>
        <w:t>Do oceny równości poprzecznej warstw nawierzchni dróg wszystkich klas technicznych należy stosować metodę z wykorzystaniem łaty 4-metrowej i klina lub metody równoważnej użyciu łaty i klina. Pomiar należy wykonywać w kierunku prostopadłym do osi jezdni, na każdym ocenianym pasie ruchu, nie rzadziej niż co 10 m. Wymagana równość poprzeczna jest określona w rozporządzeniu dotyczącym warunków technicznych, jakim powinny odpowiadać drogi publiczne [67].</w:t>
      </w:r>
    </w:p>
    <w:p>
      <w:pPr>
        <w:pStyle w:val="Normal"/>
        <w:spacing w:lineRule="auto" w:line="240" w:before="0" w:after="0"/>
        <w:ind w:left="1050"/>
        <w:jc w:val="both"/>
        <w:rPr>
          <w:rFonts w:cs="Calibri"/>
          <w:sz w:val="20"/>
          <w:szCs w:val="20"/>
        </w:rPr>
      </w:pPr>
      <w:r>
        <w:rPr>
          <w:rFonts w:cs="Calibri"/>
          <w:sz w:val="20"/>
          <w:szCs w:val="20"/>
        </w:rPr>
        <w:t>Wymagana równość poprzeczna &lt; 8mm</w:t>
      </w:r>
    </w:p>
    <w:p>
      <w:pPr>
        <w:pStyle w:val="Normal"/>
        <w:spacing w:lineRule="auto" w:line="240" w:before="0" w:after="0"/>
        <w:ind w:left="1050"/>
        <w:jc w:val="both"/>
        <w:rPr>
          <w:rFonts w:cs="Calibri"/>
          <w:sz w:val="20"/>
          <w:szCs w:val="20"/>
        </w:rPr>
      </w:pPr>
      <w:r>
        <w:rPr>
          <w:rFonts w:cs="Calibri"/>
          <w:sz w:val="20"/>
          <w:szCs w:val="20"/>
        </w:rPr>
      </w:r>
    </w:p>
    <w:p>
      <w:pPr>
        <w:pStyle w:val="Normal"/>
        <w:spacing w:lineRule="auto" w:line="240" w:before="0" w:after="0"/>
        <w:ind w:left="364"/>
        <w:jc w:val="both"/>
        <w:rPr>
          <w:rFonts w:cs="Calibri"/>
          <w:sz w:val="20"/>
          <w:szCs w:val="20"/>
        </w:rPr>
      </w:pPr>
      <w:r>
        <w:rPr>
          <w:rFonts w:cs="Calibri"/>
          <w:sz w:val="20"/>
          <w:szCs w:val="20"/>
        </w:rPr>
        <w:t>6.4.2.6. Pozostałe właściwości warstwy asfaltowej</w:t>
      </w:r>
    </w:p>
    <w:p>
      <w:pPr>
        <w:pStyle w:val="Normal"/>
        <w:spacing w:lineRule="auto" w:line="240" w:before="0" w:after="0"/>
        <w:ind w:left="1022"/>
        <w:jc w:val="both"/>
        <w:rPr>
          <w:rFonts w:cs="Calibri"/>
          <w:sz w:val="20"/>
          <w:szCs w:val="20"/>
        </w:rPr>
      </w:pPr>
      <w:r>
        <w:rPr>
          <w:rFonts w:cs="Calibri"/>
          <w:sz w:val="20"/>
          <w:szCs w:val="20"/>
        </w:rPr>
        <w:t xml:space="preserve">Szerokość warstwy, mierzona 10 razy na 1 km każdej jezdni, nie może się różnić od szerokości projektowanej o więcej niż ± 5 cm. Rzędne wysokościowe, mierzone co 10 m na prostych i co 10 m na osi podłużnej i krawędziach, powinny być zgodne z dokumentacją projektową z dopuszczalną tolerancją ± 1 cm, przy czym co najmniej 95% wykonanych pomiarów nie może przekraczać przedziału dopuszczalnych odchyleń. Ukształtowanie osi w planie, mierzone co 100 m, nie powinno różnić się od dokumentacji projektowej o ± 5 cm. Złącza podłużne i poprzeczne, sprawdzone wizualnie, powinny być równe </w:t>
        <w:br/>
        <w:t>i związane, wykonane w linii prostej, równolegle lub prostopadle do osi drogi. Przylegające warstwy powinny być w jednym poziomie. Wygląd zewnętrzny warstwy, sprawdzony wizualnie, powinien być jednorodny, bez spękań, deformacji, plam i wykruszeń.</w:t>
      </w:r>
    </w:p>
    <w:p>
      <w:pPr>
        <w:pStyle w:val="Normal"/>
        <w:spacing w:lineRule="auto" w:line="240" w:before="0" w:after="0"/>
        <w:ind w:left="1022"/>
        <w:jc w:val="both"/>
        <w:rPr>
          <w:rFonts w:cs="Calibri"/>
          <w:sz w:val="20"/>
          <w:szCs w:val="20"/>
        </w:rPr>
      </w:pPr>
      <w:r>
        <w:rPr>
          <w:rFonts w:cs="Calibri"/>
          <w:sz w:val="20"/>
          <w:szCs w:val="20"/>
        </w:rPr>
      </w:r>
    </w:p>
    <w:p>
      <w:pPr>
        <w:pStyle w:val="Normal"/>
        <w:spacing w:lineRule="auto" w:line="240" w:before="0" w:after="0"/>
        <w:ind w:left="1022"/>
        <w:jc w:val="both"/>
        <w:rPr>
          <w:rFonts w:cs="Calibri"/>
          <w:sz w:val="20"/>
          <w:szCs w:val="20"/>
        </w:rPr>
      </w:pPr>
      <w:r>
        <w:rPr>
          <w:rFonts w:cs="Calibri"/>
          <w:sz w:val="20"/>
          <w:szCs w:val="20"/>
        </w:rPr>
      </w:r>
    </w:p>
    <w:p>
      <w:pPr>
        <w:pStyle w:val="Normal"/>
        <w:spacing w:lineRule="auto" w:line="240" w:before="0" w:after="0"/>
        <w:jc w:val="both"/>
        <w:rPr>
          <w:rFonts w:cs="Calibri"/>
          <w:b/>
          <w:sz w:val="20"/>
          <w:szCs w:val="20"/>
        </w:rPr>
      </w:pPr>
      <w:r>
        <w:rPr>
          <w:rFonts w:cs="Calibri"/>
          <w:b/>
          <w:sz w:val="20"/>
          <w:szCs w:val="20"/>
        </w:rPr>
        <w:t>7. OBMIAR ROBÓT</w:t>
      </w:r>
    </w:p>
    <w:p>
      <w:pPr>
        <w:pStyle w:val="Normal"/>
        <w:spacing w:lineRule="auto" w:line="240" w:before="0" w:after="0"/>
        <w:jc w:val="both"/>
        <w:rPr>
          <w:rFonts w:cs="Calibri"/>
          <w:sz w:val="20"/>
          <w:szCs w:val="20"/>
        </w:rPr>
      </w:pPr>
      <w:r>
        <w:rPr>
          <w:rFonts w:cs="Calibri"/>
          <w:sz w:val="20"/>
          <w:szCs w:val="20"/>
        </w:rPr>
        <w:t>7.1. Ogólne zasady obmiaru robót</w:t>
      </w:r>
    </w:p>
    <w:p>
      <w:pPr>
        <w:pStyle w:val="Normal"/>
        <w:spacing w:lineRule="auto" w:line="240" w:before="0" w:after="0"/>
        <w:ind w:left="364"/>
        <w:jc w:val="both"/>
        <w:rPr>
          <w:rFonts w:cs="Calibri"/>
          <w:sz w:val="20"/>
          <w:szCs w:val="20"/>
        </w:rPr>
      </w:pPr>
      <w:r>
        <w:rPr>
          <w:rFonts w:cs="Calibri"/>
          <w:sz w:val="20"/>
          <w:szCs w:val="20"/>
        </w:rPr>
        <w:t>Ogólne zasady obmiaru robót podano w STWIORB D-M-00.00.00 „Wymagania ogólne” [1] pkt 7.</w:t>
      </w:r>
    </w:p>
    <w:p>
      <w:pPr>
        <w:pStyle w:val="Normal"/>
        <w:spacing w:lineRule="auto" w:line="240" w:before="0" w:after="0"/>
        <w:ind w:left="364"/>
        <w:jc w:val="both"/>
        <w:rPr>
          <w:rFonts w:cs="Calibri"/>
          <w:sz w:val="20"/>
          <w:szCs w:val="20"/>
        </w:rPr>
      </w:pPr>
      <w:r>
        <w:rPr>
          <w:rFonts w:cs="Calibri"/>
          <w:sz w:val="20"/>
          <w:szCs w:val="20"/>
        </w:rPr>
      </w:r>
    </w:p>
    <w:p>
      <w:pPr>
        <w:pStyle w:val="Normal"/>
        <w:spacing w:lineRule="auto" w:line="240" w:before="0" w:after="0"/>
        <w:jc w:val="both"/>
        <w:rPr>
          <w:rFonts w:cs="Calibri"/>
          <w:sz w:val="20"/>
          <w:szCs w:val="20"/>
        </w:rPr>
      </w:pPr>
      <w:r>
        <w:rPr>
          <w:rFonts w:cs="Calibri"/>
          <w:sz w:val="20"/>
          <w:szCs w:val="20"/>
        </w:rPr>
        <w:t>7.2. Jednostka obmiarowa</w:t>
      </w:r>
    </w:p>
    <w:p>
      <w:pPr>
        <w:pStyle w:val="Normal"/>
        <w:spacing w:lineRule="auto" w:line="240" w:before="0" w:after="0"/>
        <w:ind w:left="364"/>
        <w:jc w:val="both"/>
        <w:rPr>
          <w:rFonts w:cs="Calibri"/>
          <w:sz w:val="20"/>
          <w:szCs w:val="20"/>
        </w:rPr>
      </w:pPr>
      <w:r>
        <w:rPr>
          <w:rFonts w:cs="Calibri"/>
          <w:sz w:val="20"/>
          <w:szCs w:val="20"/>
        </w:rPr>
        <w:t>Jednostką obmiarową jest m2 (metr kwadratowy) wykonanej warstwy ścieralnej z betonu asfaltowego</w:t>
      </w:r>
    </w:p>
    <w:p>
      <w:pPr>
        <w:pStyle w:val="Normal"/>
        <w:spacing w:lineRule="auto" w:line="240" w:before="0" w:after="0"/>
        <w:ind w:left="364"/>
        <w:jc w:val="both"/>
        <w:rPr>
          <w:rFonts w:cs="Calibri"/>
          <w:sz w:val="20"/>
          <w:szCs w:val="20"/>
        </w:rPr>
      </w:pPr>
      <w:r>
        <w:rPr>
          <w:rFonts w:cs="Calibri"/>
          <w:sz w:val="20"/>
          <w:szCs w:val="20"/>
        </w:rPr>
      </w:r>
    </w:p>
    <w:p>
      <w:pPr>
        <w:pStyle w:val="Normal"/>
        <w:spacing w:lineRule="auto" w:line="240" w:before="0" w:after="0"/>
        <w:ind w:left="364"/>
        <w:jc w:val="both"/>
        <w:rPr>
          <w:rFonts w:cs="Calibri"/>
          <w:sz w:val="20"/>
          <w:szCs w:val="20"/>
        </w:rPr>
      </w:pPr>
      <w:r>
        <w:rPr>
          <w:rFonts w:cs="Calibri"/>
          <w:sz w:val="20"/>
          <w:szCs w:val="20"/>
        </w:rPr>
      </w:r>
    </w:p>
    <w:p>
      <w:pPr>
        <w:pStyle w:val="Normal"/>
        <w:spacing w:lineRule="auto" w:line="240" w:before="0" w:after="0"/>
        <w:jc w:val="both"/>
        <w:rPr>
          <w:rFonts w:cs="Calibri"/>
          <w:b/>
          <w:sz w:val="20"/>
          <w:szCs w:val="20"/>
        </w:rPr>
      </w:pPr>
      <w:r>
        <w:rPr>
          <w:rFonts w:cs="Calibri"/>
          <w:b/>
          <w:sz w:val="20"/>
          <w:szCs w:val="20"/>
        </w:rPr>
        <w:t>8. ODBIÓR ROBÓT</w:t>
      </w:r>
    </w:p>
    <w:p>
      <w:pPr>
        <w:pStyle w:val="Normal"/>
        <w:spacing w:lineRule="auto" w:line="240" w:before="0" w:after="0"/>
        <w:ind w:left="364"/>
        <w:jc w:val="both"/>
        <w:rPr>
          <w:rFonts w:cs="Calibri"/>
          <w:sz w:val="20"/>
          <w:szCs w:val="20"/>
        </w:rPr>
      </w:pPr>
      <w:r>
        <w:rPr>
          <w:rFonts w:cs="Calibri"/>
          <w:sz w:val="20"/>
          <w:szCs w:val="20"/>
        </w:rPr>
        <w:t>Ogólne zasady odbioru robót podano w STWIORB D-M-00.00.00 „Wymagania ogólne” [1] pkt 8.</w:t>
      </w:r>
    </w:p>
    <w:p>
      <w:pPr>
        <w:pStyle w:val="Normal"/>
        <w:spacing w:lineRule="auto" w:line="240" w:before="0" w:after="0"/>
        <w:ind w:left="364"/>
        <w:jc w:val="both"/>
        <w:rPr>
          <w:rFonts w:cs="Calibri"/>
          <w:sz w:val="20"/>
          <w:szCs w:val="20"/>
        </w:rPr>
      </w:pPr>
      <w:r>
        <w:rPr>
          <w:rFonts w:cs="Calibri"/>
          <w:sz w:val="20"/>
          <w:szCs w:val="20"/>
        </w:rPr>
        <w:t>Roboty uznaje się za wykonane zgodnie z dokumentacją projektową, ST i wymaganiami Inżyniera, jeżeli wszystkie pomiary i badania z zachowaniem tolerancji według pktu 6 dały wyniki pozytywne.</w:t>
      </w:r>
    </w:p>
    <w:p>
      <w:pPr>
        <w:pStyle w:val="Normal"/>
        <w:spacing w:lineRule="auto" w:line="240" w:before="0" w:after="0"/>
        <w:ind w:left="364"/>
        <w:jc w:val="both"/>
        <w:rPr>
          <w:rFonts w:cs="Calibri"/>
          <w:sz w:val="20"/>
          <w:szCs w:val="20"/>
        </w:rPr>
      </w:pPr>
      <w:r>
        <w:rPr>
          <w:rFonts w:cs="Calibri"/>
          <w:sz w:val="20"/>
          <w:szCs w:val="20"/>
        </w:rPr>
      </w:r>
    </w:p>
    <w:p>
      <w:pPr>
        <w:pStyle w:val="Normal"/>
        <w:spacing w:lineRule="auto" w:line="240" w:before="0" w:after="0"/>
        <w:ind w:left="364"/>
        <w:jc w:val="both"/>
        <w:rPr>
          <w:rFonts w:cs="Calibri"/>
          <w:sz w:val="20"/>
          <w:szCs w:val="20"/>
        </w:rPr>
      </w:pPr>
      <w:r>
        <w:rPr>
          <w:rFonts w:cs="Calibri"/>
          <w:sz w:val="20"/>
          <w:szCs w:val="20"/>
        </w:rPr>
      </w:r>
    </w:p>
    <w:p>
      <w:pPr>
        <w:pStyle w:val="Normal"/>
        <w:spacing w:lineRule="auto" w:line="240" w:before="0" w:after="0"/>
        <w:jc w:val="both"/>
        <w:rPr>
          <w:rFonts w:cs="Calibri"/>
          <w:b/>
          <w:sz w:val="20"/>
          <w:szCs w:val="20"/>
        </w:rPr>
      </w:pPr>
      <w:r>
        <w:rPr>
          <w:rFonts w:cs="Calibri"/>
          <w:b/>
          <w:sz w:val="20"/>
          <w:szCs w:val="20"/>
        </w:rPr>
        <w:t>9. PODSTAWA PŁATNOŚCI</w:t>
      </w:r>
    </w:p>
    <w:p>
      <w:pPr>
        <w:pStyle w:val="Normal"/>
        <w:spacing w:lineRule="auto" w:line="240" w:before="0" w:after="0"/>
        <w:jc w:val="both"/>
        <w:rPr>
          <w:rFonts w:cs="Calibri"/>
          <w:sz w:val="20"/>
          <w:szCs w:val="20"/>
        </w:rPr>
      </w:pPr>
      <w:r>
        <w:rPr>
          <w:rFonts w:cs="Calibri"/>
          <w:sz w:val="20"/>
          <w:szCs w:val="20"/>
        </w:rPr>
        <w:t>9.1. Ogólne ustalenia dotyczące podstawy płatności</w:t>
      </w:r>
    </w:p>
    <w:p>
      <w:pPr>
        <w:pStyle w:val="Normal"/>
        <w:spacing w:lineRule="auto" w:line="240" w:before="0" w:after="0"/>
        <w:ind w:left="364"/>
        <w:jc w:val="both"/>
        <w:rPr>
          <w:rFonts w:cs="Calibri"/>
          <w:sz w:val="20"/>
          <w:szCs w:val="20"/>
        </w:rPr>
      </w:pPr>
      <w:r>
        <w:rPr>
          <w:rFonts w:cs="Calibri"/>
          <w:sz w:val="20"/>
          <w:szCs w:val="20"/>
        </w:rPr>
        <w:t>Ogólne ustalenia dotyczące podstawy płatności podano w STWIORB D-M-00.00.00 „Wymagania ogólne” [1] pkt 9.</w:t>
      </w:r>
    </w:p>
    <w:p>
      <w:pPr>
        <w:pStyle w:val="Normal"/>
        <w:spacing w:lineRule="auto" w:line="240" w:before="0" w:after="0"/>
        <w:ind w:left="364"/>
        <w:jc w:val="both"/>
        <w:rPr>
          <w:rFonts w:cs="Calibri"/>
          <w:sz w:val="20"/>
          <w:szCs w:val="20"/>
        </w:rPr>
      </w:pPr>
      <w:r>
        <w:rPr>
          <w:rFonts w:cs="Calibri"/>
          <w:sz w:val="20"/>
          <w:szCs w:val="20"/>
        </w:rPr>
      </w:r>
    </w:p>
    <w:p>
      <w:pPr>
        <w:pStyle w:val="Normal"/>
        <w:spacing w:lineRule="auto" w:line="240" w:before="0" w:after="0"/>
        <w:jc w:val="both"/>
        <w:rPr>
          <w:rFonts w:cs="Calibri"/>
          <w:sz w:val="20"/>
          <w:szCs w:val="20"/>
        </w:rPr>
      </w:pPr>
      <w:r>
        <w:rPr>
          <w:rFonts w:cs="Calibri"/>
          <w:sz w:val="20"/>
          <w:szCs w:val="20"/>
        </w:rPr>
        <w:t>9.2. Cena jednostki obmiarowej</w:t>
      </w:r>
    </w:p>
    <w:p>
      <w:pPr>
        <w:pStyle w:val="Normal"/>
        <w:spacing w:lineRule="auto" w:line="240" w:before="0" w:after="0"/>
        <w:ind w:left="364"/>
        <w:jc w:val="both"/>
        <w:rPr>
          <w:rFonts w:cs="Calibri"/>
          <w:sz w:val="20"/>
          <w:szCs w:val="20"/>
        </w:rPr>
      </w:pPr>
      <w:r>
        <w:rPr>
          <w:rFonts w:cs="Calibri"/>
          <w:sz w:val="20"/>
          <w:szCs w:val="20"/>
        </w:rPr>
        <w:t>Cena wykonania 1 m2 warstwy ścieralnej z betonu asfaltowego (AC) obejmuje:</w:t>
      </w:r>
    </w:p>
    <w:p>
      <w:pPr>
        <w:pStyle w:val="ListParagraph"/>
        <w:numPr>
          <w:ilvl w:val="0"/>
          <w:numId w:val="5"/>
        </w:numPr>
        <w:spacing w:lineRule="auto" w:line="240" w:before="0" w:after="0"/>
        <w:contextualSpacing/>
        <w:jc w:val="both"/>
        <w:rPr>
          <w:rFonts w:cs="Calibri"/>
          <w:sz w:val="20"/>
          <w:szCs w:val="20"/>
        </w:rPr>
      </w:pPr>
      <w:r>
        <w:rPr>
          <w:rFonts w:cs="Calibri"/>
          <w:sz w:val="20"/>
          <w:szCs w:val="20"/>
        </w:rPr>
        <w:t>prace pomiarowe i roboty przygotowawcze,</w:t>
      </w:r>
    </w:p>
    <w:p>
      <w:pPr>
        <w:pStyle w:val="ListParagraph"/>
        <w:numPr>
          <w:ilvl w:val="0"/>
          <w:numId w:val="5"/>
        </w:numPr>
        <w:spacing w:lineRule="auto" w:line="240" w:before="0" w:after="0"/>
        <w:contextualSpacing/>
        <w:jc w:val="both"/>
        <w:rPr>
          <w:rFonts w:cs="Calibri"/>
          <w:sz w:val="20"/>
          <w:szCs w:val="20"/>
        </w:rPr>
      </w:pPr>
      <w:r>
        <w:rPr>
          <w:rFonts w:cs="Calibri"/>
          <w:sz w:val="20"/>
          <w:szCs w:val="20"/>
        </w:rPr>
        <w:t>oznakowanie robót,</w:t>
      </w:r>
    </w:p>
    <w:p>
      <w:pPr>
        <w:pStyle w:val="ListParagraph"/>
        <w:numPr>
          <w:ilvl w:val="0"/>
          <w:numId w:val="5"/>
        </w:numPr>
        <w:spacing w:lineRule="auto" w:line="240" w:before="0" w:after="0"/>
        <w:contextualSpacing/>
        <w:jc w:val="both"/>
        <w:rPr>
          <w:rFonts w:cs="Calibri"/>
          <w:sz w:val="20"/>
          <w:szCs w:val="20"/>
        </w:rPr>
      </w:pPr>
      <w:r>
        <w:rPr>
          <w:rFonts w:cs="Calibri"/>
          <w:sz w:val="20"/>
          <w:szCs w:val="20"/>
        </w:rPr>
        <w:t>oczyszczenie i skropienie podłoża,</w:t>
      </w:r>
    </w:p>
    <w:p>
      <w:pPr>
        <w:pStyle w:val="ListParagraph"/>
        <w:numPr>
          <w:ilvl w:val="0"/>
          <w:numId w:val="5"/>
        </w:numPr>
        <w:spacing w:lineRule="auto" w:line="240" w:before="0" w:after="0"/>
        <w:contextualSpacing/>
        <w:jc w:val="both"/>
        <w:rPr>
          <w:rFonts w:cs="Calibri"/>
          <w:sz w:val="20"/>
          <w:szCs w:val="20"/>
        </w:rPr>
      </w:pPr>
      <w:r>
        <w:rPr>
          <w:rFonts w:cs="Calibri"/>
          <w:sz w:val="20"/>
          <w:szCs w:val="20"/>
        </w:rPr>
        <w:t>dostarczenie materiałów i sprzętu,</w:t>
      </w:r>
    </w:p>
    <w:p>
      <w:pPr>
        <w:pStyle w:val="ListParagraph"/>
        <w:numPr>
          <w:ilvl w:val="0"/>
          <w:numId w:val="5"/>
        </w:numPr>
        <w:spacing w:lineRule="auto" w:line="240" w:before="0" w:after="0"/>
        <w:contextualSpacing/>
        <w:jc w:val="both"/>
        <w:rPr>
          <w:rFonts w:cs="Calibri"/>
          <w:sz w:val="20"/>
          <w:szCs w:val="20"/>
        </w:rPr>
      </w:pPr>
      <w:r>
        <w:rPr>
          <w:rFonts w:cs="Calibri"/>
          <w:sz w:val="20"/>
          <w:szCs w:val="20"/>
        </w:rPr>
        <w:t>opracowanie recepty laboratoryjnej,</w:t>
      </w:r>
    </w:p>
    <w:p>
      <w:pPr>
        <w:pStyle w:val="ListParagraph"/>
        <w:numPr>
          <w:ilvl w:val="0"/>
          <w:numId w:val="5"/>
        </w:numPr>
        <w:spacing w:lineRule="auto" w:line="240" w:before="0" w:after="0"/>
        <w:contextualSpacing/>
        <w:jc w:val="both"/>
        <w:rPr>
          <w:rFonts w:cs="Calibri"/>
          <w:sz w:val="20"/>
          <w:szCs w:val="20"/>
        </w:rPr>
      </w:pPr>
      <w:r>
        <w:rPr>
          <w:rFonts w:cs="Calibri"/>
          <w:sz w:val="20"/>
          <w:szCs w:val="20"/>
        </w:rPr>
        <w:t>wykonanie próby technologicznej i odcinka próbnego,</w:t>
      </w:r>
    </w:p>
    <w:p>
      <w:pPr>
        <w:pStyle w:val="ListParagraph"/>
        <w:numPr>
          <w:ilvl w:val="0"/>
          <w:numId w:val="5"/>
        </w:numPr>
        <w:spacing w:lineRule="auto" w:line="240" w:before="0" w:after="0"/>
        <w:contextualSpacing/>
        <w:jc w:val="both"/>
        <w:rPr>
          <w:rFonts w:cs="Calibri"/>
          <w:sz w:val="20"/>
          <w:szCs w:val="20"/>
        </w:rPr>
      </w:pPr>
      <w:r>
        <w:rPr>
          <w:rFonts w:cs="Calibri"/>
          <w:sz w:val="20"/>
          <w:szCs w:val="20"/>
        </w:rPr>
        <w:t>wyprodukowanie mieszanki betonu asfaltowego i jej transport na miejsce wbudowania,</w:t>
      </w:r>
    </w:p>
    <w:p>
      <w:pPr>
        <w:pStyle w:val="ListParagraph"/>
        <w:numPr>
          <w:ilvl w:val="0"/>
          <w:numId w:val="5"/>
        </w:numPr>
        <w:spacing w:lineRule="auto" w:line="240" w:before="0" w:after="0"/>
        <w:contextualSpacing/>
        <w:jc w:val="both"/>
        <w:rPr>
          <w:rFonts w:cs="Calibri"/>
          <w:sz w:val="20"/>
          <w:szCs w:val="20"/>
        </w:rPr>
      </w:pPr>
      <w:r>
        <w:rPr>
          <w:rFonts w:cs="Calibri"/>
          <w:sz w:val="20"/>
          <w:szCs w:val="20"/>
        </w:rPr>
        <w:t>posmarowanie lepiszczem lub pokrycie taśmą asfaltową krawędzi urządzeń obcych i krawężników,</w:t>
      </w:r>
    </w:p>
    <w:p>
      <w:pPr>
        <w:pStyle w:val="ListParagraph"/>
        <w:numPr>
          <w:ilvl w:val="0"/>
          <w:numId w:val="5"/>
        </w:numPr>
        <w:spacing w:lineRule="auto" w:line="240" w:before="0" w:after="0"/>
        <w:contextualSpacing/>
        <w:jc w:val="both"/>
        <w:rPr>
          <w:rFonts w:cs="Calibri"/>
          <w:sz w:val="20"/>
          <w:szCs w:val="20"/>
        </w:rPr>
      </w:pPr>
      <w:r>
        <w:rPr>
          <w:rFonts w:cs="Calibri"/>
          <w:sz w:val="20"/>
          <w:szCs w:val="20"/>
        </w:rPr>
        <w:t>rozłożenie i zagęszczenie mieszanki betonu asfaltowego,</w:t>
      </w:r>
    </w:p>
    <w:p>
      <w:pPr>
        <w:pStyle w:val="ListParagraph"/>
        <w:numPr>
          <w:ilvl w:val="0"/>
          <w:numId w:val="5"/>
        </w:numPr>
        <w:spacing w:lineRule="auto" w:line="240" w:before="0" w:after="0"/>
        <w:contextualSpacing/>
        <w:jc w:val="both"/>
        <w:rPr>
          <w:rFonts w:cs="Calibri"/>
          <w:sz w:val="20"/>
          <w:szCs w:val="20"/>
        </w:rPr>
      </w:pPr>
      <w:r>
        <w:rPr>
          <w:rFonts w:cs="Calibri"/>
          <w:sz w:val="20"/>
          <w:szCs w:val="20"/>
        </w:rPr>
        <w:t>obcięcie krawędzi i posmarowanie lepiszczem,</w:t>
      </w:r>
    </w:p>
    <w:p>
      <w:pPr>
        <w:pStyle w:val="ListParagraph"/>
        <w:numPr>
          <w:ilvl w:val="0"/>
          <w:numId w:val="5"/>
        </w:numPr>
        <w:spacing w:lineRule="auto" w:line="240" w:before="0" w:after="0"/>
        <w:contextualSpacing/>
        <w:jc w:val="both"/>
        <w:rPr>
          <w:rFonts w:cs="Calibri"/>
          <w:sz w:val="20"/>
          <w:szCs w:val="20"/>
        </w:rPr>
      </w:pPr>
      <w:r>
        <w:rPr>
          <w:rFonts w:cs="Calibri"/>
          <w:sz w:val="20"/>
          <w:szCs w:val="20"/>
        </w:rPr>
        <w:t>przeprowadzenie pomiarów i badań wymaganych w specyfikacji technicznej,</w:t>
      </w:r>
    </w:p>
    <w:p>
      <w:pPr>
        <w:pStyle w:val="ListParagraph"/>
        <w:numPr>
          <w:ilvl w:val="0"/>
          <w:numId w:val="5"/>
        </w:numPr>
        <w:spacing w:lineRule="auto" w:line="240" w:before="0" w:after="0"/>
        <w:contextualSpacing/>
        <w:jc w:val="both"/>
        <w:rPr>
          <w:rFonts w:cs="Calibri"/>
          <w:sz w:val="20"/>
          <w:szCs w:val="20"/>
        </w:rPr>
      </w:pPr>
      <w:r>
        <w:rPr>
          <w:rFonts w:cs="Calibri"/>
          <w:sz w:val="20"/>
          <w:szCs w:val="20"/>
        </w:rPr>
        <w:t>odwiezienie sprzętu.</w:t>
      </w:r>
    </w:p>
    <w:p>
      <w:pPr>
        <w:pStyle w:val="Normal"/>
        <w:spacing w:lineRule="auto" w:line="240" w:before="0" w:after="0"/>
        <w:ind w:left="364"/>
        <w:jc w:val="both"/>
        <w:rPr>
          <w:rFonts w:cs="Calibri"/>
          <w:sz w:val="20"/>
          <w:szCs w:val="20"/>
        </w:rPr>
      </w:pPr>
      <w:r>
        <w:rPr>
          <w:rFonts w:cs="Calibri"/>
          <w:sz w:val="20"/>
          <w:szCs w:val="20"/>
        </w:rPr>
      </w:r>
    </w:p>
    <w:p>
      <w:pPr>
        <w:pStyle w:val="Normal"/>
        <w:spacing w:lineRule="auto" w:line="240" w:before="0" w:after="0"/>
        <w:jc w:val="both"/>
        <w:rPr>
          <w:rFonts w:cs="Calibri"/>
          <w:sz w:val="20"/>
          <w:szCs w:val="20"/>
        </w:rPr>
      </w:pPr>
      <w:r>
        <w:rPr>
          <w:rFonts w:cs="Calibri"/>
          <w:sz w:val="20"/>
          <w:szCs w:val="20"/>
        </w:rPr>
        <w:t>9.3. Sposób rozliczenia robót tymczasowych i prac towarzyszących</w:t>
      </w:r>
    </w:p>
    <w:p>
      <w:pPr>
        <w:pStyle w:val="Normal"/>
        <w:spacing w:lineRule="auto" w:line="240" w:before="0" w:after="0"/>
        <w:ind w:left="364"/>
        <w:jc w:val="both"/>
        <w:rPr>
          <w:rFonts w:cs="Calibri"/>
          <w:sz w:val="20"/>
          <w:szCs w:val="20"/>
        </w:rPr>
      </w:pPr>
      <w:r>
        <w:rPr>
          <w:rFonts w:cs="Calibri"/>
          <w:sz w:val="20"/>
          <w:szCs w:val="20"/>
        </w:rPr>
        <w:t>Cena wykonania robót określonych niniejszą STWIORB obejmuje:</w:t>
      </w:r>
    </w:p>
    <w:p>
      <w:pPr>
        <w:pStyle w:val="ListParagraph"/>
        <w:numPr>
          <w:ilvl w:val="0"/>
          <w:numId w:val="5"/>
        </w:numPr>
        <w:spacing w:lineRule="auto" w:line="240" w:before="0" w:after="0"/>
        <w:contextualSpacing/>
        <w:jc w:val="both"/>
        <w:rPr>
          <w:rFonts w:cs="Calibri"/>
          <w:sz w:val="20"/>
          <w:szCs w:val="20"/>
        </w:rPr>
      </w:pPr>
      <w:r>
        <w:rPr>
          <w:rFonts w:cs="Calibri"/>
          <w:sz w:val="20"/>
          <w:szCs w:val="20"/>
        </w:rPr>
        <w:t>roboty tymczasowe, które są potrzebne do wykonania robót podstawowych, ale nie są przekazywane Zamawiającemu i są usuwane po wykonaniu robót podstawowych,</w:t>
      </w:r>
    </w:p>
    <w:p>
      <w:pPr>
        <w:pStyle w:val="ListParagraph"/>
        <w:numPr>
          <w:ilvl w:val="0"/>
          <w:numId w:val="5"/>
        </w:numPr>
        <w:spacing w:lineRule="auto" w:line="240" w:before="0" w:after="0"/>
        <w:contextualSpacing/>
        <w:jc w:val="both"/>
        <w:rPr>
          <w:rFonts w:cs="Calibri"/>
          <w:sz w:val="20"/>
          <w:szCs w:val="20"/>
        </w:rPr>
      </w:pPr>
      <w:r>
        <w:rPr>
          <w:rFonts w:cs="Calibri"/>
          <w:sz w:val="20"/>
          <w:szCs w:val="20"/>
        </w:rPr>
        <w:t>prace towarzyszące, które są niezbędne do wykonania robót podstawowych, niezaliczane do robót tymczasowych, jak geodezyjne wytyczenie robót itd.</w:t>
      </w:r>
    </w:p>
    <w:p>
      <w:pPr>
        <w:pStyle w:val="Normal"/>
        <w:spacing w:lineRule="auto" w:line="240" w:before="0" w:after="0"/>
        <w:ind w:left="364"/>
        <w:jc w:val="both"/>
        <w:rPr>
          <w:rFonts w:cs="Calibri"/>
          <w:sz w:val="20"/>
          <w:szCs w:val="20"/>
        </w:rPr>
      </w:pPr>
      <w:r>
        <w:rPr>
          <w:rFonts w:cs="Calibri"/>
          <w:sz w:val="20"/>
          <w:szCs w:val="20"/>
        </w:rPr>
      </w:r>
    </w:p>
    <w:p>
      <w:pPr>
        <w:pStyle w:val="Normal"/>
        <w:spacing w:lineRule="auto" w:line="240" w:before="0" w:after="0"/>
        <w:ind w:left="364"/>
        <w:jc w:val="both"/>
        <w:rPr>
          <w:rFonts w:cs="Calibri"/>
          <w:sz w:val="20"/>
          <w:szCs w:val="20"/>
        </w:rPr>
      </w:pPr>
      <w:r>
        <w:rPr>
          <w:rFonts w:cs="Calibri"/>
          <w:sz w:val="20"/>
          <w:szCs w:val="20"/>
        </w:rPr>
      </w:r>
    </w:p>
    <w:p>
      <w:pPr>
        <w:pStyle w:val="Normal"/>
        <w:spacing w:lineRule="auto" w:line="240" w:before="0" w:after="0"/>
        <w:jc w:val="both"/>
        <w:rPr>
          <w:rFonts w:cs="Calibri"/>
          <w:b/>
          <w:sz w:val="20"/>
          <w:szCs w:val="20"/>
        </w:rPr>
      </w:pPr>
      <w:r>
        <w:rPr>
          <w:rFonts w:cs="Calibri"/>
          <w:b/>
          <w:sz w:val="20"/>
          <w:szCs w:val="20"/>
        </w:rPr>
        <w:t>10. PRZEPISY ZWIĄZANE</w:t>
      </w:r>
    </w:p>
    <w:p>
      <w:pPr>
        <w:pStyle w:val="Normal"/>
        <w:spacing w:lineRule="auto" w:line="240" w:before="0" w:after="0"/>
        <w:jc w:val="both"/>
        <w:rPr>
          <w:rFonts w:cs="Calibri"/>
          <w:sz w:val="20"/>
          <w:szCs w:val="20"/>
        </w:rPr>
      </w:pPr>
      <w:r>
        <w:rPr>
          <w:rFonts w:cs="Calibri"/>
          <w:sz w:val="20"/>
          <w:szCs w:val="20"/>
        </w:rPr>
        <w:t>10.1. Ogólne specyfikacje techniczne (STWIORB)</w:t>
      </w:r>
    </w:p>
    <w:p>
      <w:pPr>
        <w:pStyle w:val="ListParagraph"/>
        <w:numPr>
          <w:ilvl w:val="0"/>
          <w:numId w:val="7"/>
        </w:numPr>
        <w:spacing w:lineRule="auto" w:line="240" w:before="0" w:after="0"/>
        <w:contextualSpacing/>
        <w:jc w:val="both"/>
        <w:rPr>
          <w:rFonts w:cs="Calibri"/>
          <w:sz w:val="20"/>
          <w:szCs w:val="20"/>
        </w:rPr>
      </w:pPr>
      <w:r>
        <w:rPr>
          <w:rFonts w:cs="Calibri"/>
          <w:sz w:val="20"/>
          <w:szCs w:val="20"/>
        </w:rPr>
        <w:t xml:space="preserve">Załącznik 1 </w:t>
        <w:tab/>
        <w:t>Zakładowa kontrola produkcji;</w:t>
      </w:r>
    </w:p>
    <w:p>
      <w:pPr>
        <w:pStyle w:val="ListParagraph"/>
        <w:numPr>
          <w:ilvl w:val="0"/>
          <w:numId w:val="7"/>
        </w:numPr>
        <w:spacing w:lineRule="auto" w:line="240" w:before="0" w:after="0"/>
        <w:contextualSpacing/>
        <w:jc w:val="both"/>
        <w:rPr>
          <w:rFonts w:cs="Calibri"/>
          <w:sz w:val="20"/>
          <w:szCs w:val="20"/>
        </w:rPr>
      </w:pPr>
      <w:r>
        <w:rPr>
          <w:rFonts w:cs="Calibri"/>
          <w:sz w:val="20"/>
          <w:szCs w:val="20"/>
        </w:rPr>
        <w:t xml:space="preserve">Załącznik 2 </w:t>
        <w:tab/>
        <w:t>Wymagane własności kruszyw wg WT-1 i PN-EN 13043 w części dotyczącej SMA 11 KR5;</w:t>
      </w:r>
    </w:p>
    <w:p>
      <w:pPr>
        <w:pStyle w:val="ListParagraph"/>
        <w:numPr>
          <w:ilvl w:val="0"/>
          <w:numId w:val="7"/>
        </w:numPr>
        <w:spacing w:lineRule="auto" w:line="240" w:before="0" w:after="0"/>
        <w:contextualSpacing/>
        <w:jc w:val="both"/>
        <w:rPr>
          <w:rFonts w:cs="Calibri"/>
          <w:sz w:val="20"/>
          <w:szCs w:val="20"/>
        </w:rPr>
      </w:pPr>
      <w:r>
        <w:rPr>
          <w:rFonts w:cs="Calibri"/>
          <w:sz w:val="20"/>
          <w:szCs w:val="20"/>
        </w:rPr>
        <w:t xml:space="preserve">Załącznik 3 </w:t>
        <w:tab/>
        <w:t>Wymaga dotyczące kationowych emulsji asfaltowych;</w:t>
      </w:r>
    </w:p>
    <w:p>
      <w:pPr>
        <w:pStyle w:val="ListParagraph"/>
        <w:numPr>
          <w:ilvl w:val="0"/>
          <w:numId w:val="7"/>
        </w:numPr>
        <w:spacing w:lineRule="auto" w:line="240" w:before="0" w:after="0"/>
        <w:contextualSpacing/>
        <w:jc w:val="both"/>
        <w:rPr>
          <w:rFonts w:cs="Calibri"/>
          <w:sz w:val="20"/>
          <w:szCs w:val="20"/>
        </w:rPr>
      </w:pPr>
      <w:r>
        <w:rPr>
          <w:rFonts w:cs="Calibri"/>
          <w:sz w:val="20"/>
          <w:szCs w:val="20"/>
        </w:rPr>
        <w:t xml:space="preserve">Załącznik 4 </w:t>
        <w:tab/>
        <w:t>Instrukcja badawcza – określanie odporności próbek na działanie wody i mrozu.</w:t>
      </w:r>
    </w:p>
    <w:p>
      <w:pPr>
        <w:pStyle w:val="Normal"/>
        <w:spacing w:lineRule="auto" w:line="240" w:before="0" w:after="0"/>
        <w:jc w:val="both"/>
        <w:rPr>
          <w:rFonts w:cs="Calibri"/>
          <w:sz w:val="20"/>
          <w:szCs w:val="20"/>
        </w:rPr>
      </w:pPr>
      <w:r>
        <w:rPr>
          <w:rFonts w:cs="Calibri"/>
          <w:sz w:val="20"/>
          <w:szCs w:val="20"/>
        </w:rPr>
      </w:r>
    </w:p>
    <w:p>
      <w:pPr>
        <w:pStyle w:val="Normal"/>
        <w:spacing w:lineRule="auto" w:line="240" w:before="0" w:after="0"/>
        <w:jc w:val="both"/>
        <w:rPr>
          <w:rFonts w:cs="Calibri"/>
          <w:sz w:val="20"/>
          <w:szCs w:val="20"/>
        </w:rPr>
      </w:pPr>
      <w:r>
        <w:rPr>
          <w:rFonts w:cs="Calibri"/>
          <w:sz w:val="20"/>
          <w:szCs w:val="20"/>
        </w:rPr>
        <w:t>10.2. Normy</w:t>
      </w:r>
    </w:p>
    <w:p>
      <w:pPr>
        <w:pStyle w:val="Normal"/>
        <w:spacing w:lineRule="auto" w:line="240" w:before="0" w:after="0"/>
        <w:ind w:left="360"/>
        <w:jc w:val="both"/>
        <w:rPr>
          <w:rFonts w:cs="Calibri"/>
          <w:i/>
          <w:i/>
          <w:sz w:val="18"/>
          <w:szCs w:val="20"/>
        </w:rPr>
      </w:pPr>
      <w:r>
        <w:rPr>
          <w:rFonts w:cs="Calibri"/>
          <w:i/>
          <w:sz w:val="18"/>
          <w:szCs w:val="20"/>
        </w:rPr>
        <w:t>(Zestawienie zawiera dodatkowo normy PN-EN związane z badaniami materiałów występujących w niniejszej OST)</w:t>
      </w:r>
    </w:p>
    <w:p>
      <w:pPr>
        <w:pStyle w:val="Normal"/>
        <w:spacing w:lineRule="auto" w:line="240" w:before="0" w:after="0"/>
        <w:ind w:left="360"/>
        <w:jc w:val="both"/>
        <w:rPr>
          <w:rFonts w:cs="Calibri"/>
          <w:i/>
          <w:i/>
          <w:sz w:val="18"/>
          <w:szCs w:val="20"/>
        </w:rPr>
      </w:pPr>
      <w:r>
        <w:rPr>
          <w:rFonts w:cs="Calibri"/>
          <w:i/>
          <w:sz w:val="18"/>
          <w:szCs w:val="20"/>
        </w:rPr>
      </w:r>
    </w:p>
    <w:p>
      <w:pPr>
        <w:pStyle w:val="ListParagraph"/>
        <w:numPr>
          <w:ilvl w:val="0"/>
          <w:numId w:val="6"/>
        </w:numPr>
        <w:spacing w:lineRule="auto" w:line="240" w:before="0" w:after="0"/>
        <w:contextualSpacing/>
        <w:jc w:val="both"/>
        <w:rPr>
          <w:rFonts w:cs="Calibri"/>
          <w:sz w:val="20"/>
          <w:szCs w:val="20"/>
        </w:rPr>
      </w:pPr>
      <w:r>
        <w:rPr>
          <w:rFonts w:cs="Calibri"/>
          <w:sz w:val="20"/>
          <w:szCs w:val="20"/>
        </w:rPr>
        <w:t>PN-EN 932-3 Badania podstawowych właściwości kruszyw – Procedura i terminologia uproszczonego opisu petrograficznego;</w:t>
      </w:r>
    </w:p>
    <w:p>
      <w:pPr>
        <w:pStyle w:val="ListParagraph"/>
        <w:numPr>
          <w:ilvl w:val="0"/>
          <w:numId w:val="6"/>
        </w:numPr>
        <w:spacing w:lineRule="auto" w:line="240" w:before="0" w:after="0"/>
        <w:contextualSpacing/>
        <w:jc w:val="both"/>
        <w:rPr>
          <w:rFonts w:cs="Calibri"/>
          <w:sz w:val="20"/>
          <w:szCs w:val="20"/>
        </w:rPr>
      </w:pPr>
      <w:r>
        <w:rPr>
          <w:rFonts w:cs="Calibri"/>
          <w:sz w:val="20"/>
          <w:szCs w:val="20"/>
        </w:rPr>
        <w:t>PN-EN 933-1 Badania geometrycznych właściwości kruszyw – Oznaczanie składu ziarnowego – Metoda przesiewania;</w:t>
      </w:r>
    </w:p>
    <w:p>
      <w:pPr>
        <w:pStyle w:val="ListParagraph"/>
        <w:numPr>
          <w:ilvl w:val="0"/>
          <w:numId w:val="6"/>
        </w:numPr>
        <w:spacing w:lineRule="auto" w:line="240" w:before="0" w:after="0"/>
        <w:contextualSpacing/>
        <w:jc w:val="both"/>
        <w:rPr>
          <w:rFonts w:cs="Calibri"/>
          <w:sz w:val="20"/>
          <w:szCs w:val="20"/>
        </w:rPr>
      </w:pPr>
      <w:r>
        <w:rPr>
          <w:rFonts w:cs="Calibri"/>
          <w:sz w:val="20"/>
          <w:szCs w:val="20"/>
        </w:rPr>
        <w:t>PN-EN 933-3 Badania geometrycznych właściwości kruszyw – Oznaczanie kształtu ziaren za pomocą wskaźnika płaskości;</w:t>
      </w:r>
    </w:p>
    <w:p>
      <w:pPr>
        <w:pStyle w:val="ListParagraph"/>
        <w:numPr>
          <w:ilvl w:val="0"/>
          <w:numId w:val="6"/>
        </w:numPr>
        <w:spacing w:lineRule="auto" w:line="240" w:before="0" w:after="0"/>
        <w:contextualSpacing/>
        <w:jc w:val="both"/>
        <w:rPr>
          <w:rFonts w:cs="Calibri"/>
          <w:sz w:val="20"/>
          <w:szCs w:val="20"/>
        </w:rPr>
      </w:pPr>
      <w:r>
        <w:rPr>
          <w:rFonts w:cs="Calibri"/>
          <w:sz w:val="20"/>
          <w:szCs w:val="20"/>
        </w:rPr>
        <w:t>PN-EN 933-4 Badania geometrycznych właściwości kruszyw – Część 4: Oznaczanie kształtu ziaren – Wskaźnik kształtu;</w:t>
      </w:r>
    </w:p>
    <w:p>
      <w:pPr>
        <w:pStyle w:val="ListParagraph"/>
        <w:numPr>
          <w:ilvl w:val="0"/>
          <w:numId w:val="6"/>
        </w:numPr>
        <w:spacing w:lineRule="auto" w:line="240" w:before="0" w:after="0"/>
        <w:contextualSpacing/>
        <w:jc w:val="both"/>
        <w:rPr>
          <w:rFonts w:cs="Calibri"/>
          <w:sz w:val="20"/>
          <w:szCs w:val="20"/>
        </w:rPr>
      </w:pPr>
      <w:r>
        <w:rPr>
          <w:rFonts w:cs="Calibri"/>
          <w:sz w:val="20"/>
          <w:szCs w:val="20"/>
        </w:rPr>
        <w:t xml:space="preserve">PN-EN 933-5 Badania geometrycznych właściwości kruszyw – Oznaczanie procentowej zawartości ziaren </w:t>
        <w:br/>
        <w:t xml:space="preserve">o powierzchniach powstałych w wyniku przekruszenia lub łamania kruszyw grubych; </w:t>
      </w:r>
    </w:p>
    <w:p>
      <w:pPr>
        <w:pStyle w:val="ListParagraph"/>
        <w:numPr>
          <w:ilvl w:val="0"/>
          <w:numId w:val="6"/>
        </w:numPr>
        <w:spacing w:lineRule="auto" w:line="240" w:before="0" w:after="0"/>
        <w:contextualSpacing/>
        <w:jc w:val="both"/>
        <w:rPr>
          <w:rFonts w:cs="Calibri"/>
          <w:sz w:val="20"/>
          <w:szCs w:val="20"/>
        </w:rPr>
      </w:pPr>
      <w:r>
        <w:rPr>
          <w:rFonts w:cs="Calibri"/>
          <w:sz w:val="20"/>
          <w:szCs w:val="20"/>
        </w:rPr>
        <w:t xml:space="preserve">PN-EN 933-6 Badania geometrycznych właściwości kruszyw – Część 6: Ocena właściwości powierzchni – Wskaźnik przepływu kruszywa; </w:t>
      </w:r>
    </w:p>
    <w:p>
      <w:pPr>
        <w:pStyle w:val="ListParagraph"/>
        <w:numPr>
          <w:ilvl w:val="0"/>
          <w:numId w:val="6"/>
        </w:numPr>
        <w:spacing w:lineRule="auto" w:line="240" w:before="0" w:after="0"/>
        <w:contextualSpacing/>
        <w:jc w:val="both"/>
        <w:rPr>
          <w:rFonts w:cs="Calibri"/>
          <w:sz w:val="20"/>
          <w:szCs w:val="20"/>
        </w:rPr>
      </w:pPr>
      <w:r>
        <w:rPr>
          <w:rFonts w:cs="Calibri"/>
          <w:sz w:val="20"/>
          <w:szCs w:val="20"/>
        </w:rPr>
        <w:t xml:space="preserve">PN-EN 933-9 Badania geometrycznych właściwości kruszyw – Ocena zawartości drobnych cząstek – Badania błękitem metylenowym; </w:t>
      </w:r>
    </w:p>
    <w:p>
      <w:pPr>
        <w:pStyle w:val="ListParagraph"/>
        <w:numPr>
          <w:ilvl w:val="0"/>
          <w:numId w:val="6"/>
        </w:numPr>
        <w:spacing w:lineRule="auto" w:line="240" w:before="0" w:after="0"/>
        <w:contextualSpacing/>
        <w:jc w:val="both"/>
        <w:rPr>
          <w:rFonts w:cs="Calibri"/>
          <w:sz w:val="20"/>
          <w:szCs w:val="20"/>
        </w:rPr>
      </w:pPr>
      <w:r>
        <w:rPr>
          <w:rFonts w:cs="Calibri"/>
          <w:sz w:val="20"/>
          <w:szCs w:val="20"/>
        </w:rPr>
        <w:t xml:space="preserve">PN-EN 933-10 Badania geometrycznych właściwości kruszyw – Część 10: Ocena zawartości drobnych cząstek – Uziarnienie wypełniaczy (przesiewanie w strumieniu powietrza); </w:t>
      </w:r>
    </w:p>
    <w:p>
      <w:pPr>
        <w:pStyle w:val="ListParagraph"/>
        <w:numPr>
          <w:ilvl w:val="0"/>
          <w:numId w:val="6"/>
        </w:numPr>
        <w:spacing w:lineRule="auto" w:line="240" w:before="0" w:after="0"/>
        <w:contextualSpacing/>
        <w:jc w:val="both"/>
        <w:rPr>
          <w:rFonts w:cs="Calibri"/>
          <w:sz w:val="20"/>
          <w:szCs w:val="20"/>
        </w:rPr>
      </w:pPr>
      <w:r>
        <w:rPr>
          <w:rFonts w:cs="Calibri"/>
          <w:sz w:val="20"/>
          <w:szCs w:val="20"/>
        </w:rPr>
        <w:t xml:space="preserve">PN-EN 1097-2 Badania mechanicznych i fizycznych właściwości kruszyw – Metody oznaczania odporności na rozdrabnianie; </w:t>
      </w:r>
    </w:p>
    <w:p>
      <w:pPr>
        <w:pStyle w:val="ListParagraph"/>
        <w:numPr>
          <w:ilvl w:val="0"/>
          <w:numId w:val="6"/>
        </w:numPr>
        <w:spacing w:lineRule="auto" w:line="240" w:before="0" w:after="0"/>
        <w:contextualSpacing/>
        <w:jc w:val="both"/>
        <w:rPr>
          <w:rFonts w:cs="Calibri"/>
          <w:sz w:val="20"/>
          <w:szCs w:val="20"/>
        </w:rPr>
      </w:pPr>
      <w:r>
        <w:rPr>
          <w:rFonts w:cs="Calibri"/>
          <w:sz w:val="20"/>
          <w:szCs w:val="20"/>
        </w:rPr>
        <w:t xml:space="preserve">PN-EN 1097-3 Badania mechanicznych i fizycznych właściwości kruszyw – Oznaczanie gęstości nasypowej </w:t>
        <w:br/>
        <w:t>i jamistości;</w:t>
      </w:r>
    </w:p>
    <w:p>
      <w:pPr>
        <w:pStyle w:val="ListParagraph"/>
        <w:numPr>
          <w:ilvl w:val="0"/>
          <w:numId w:val="6"/>
        </w:numPr>
        <w:spacing w:lineRule="auto" w:line="240" w:before="0" w:after="0"/>
        <w:contextualSpacing/>
        <w:jc w:val="both"/>
        <w:rPr>
          <w:rFonts w:cs="Calibri"/>
          <w:sz w:val="20"/>
          <w:szCs w:val="20"/>
        </w:rPr>
      </w:pPr>
      <w:r>
        <w:rPr>
          <w:rFonts w:cs="Calibri"/>
          <w:sz w:val="20"/>
          <w:szCs w:val="20"/>
        </w:rPr>
        <w:t>PN-EN 1097-4 Badania mechanicznych i fizycznych właściwości kruszyw – Część 4: Oznaczanie pustych przestrzeni suchego, zagęszczonego wypełniacza;</w:t>
      </w:r>
    </w:p>
    <w:p>
      <w:pPr>
        <w:pStyle w:val="ListParagraph"/>
        <w:numPr>
          <w:ilvl w:val="0"/>
          <w:numId w:val="6"/>
        </w:numPr>
        <w:spacing w:lineRule="auto" w:line="240" w:before="0" w:after="0"/>
        <w:contextualSpacing/>
        <w:jc w:val="both"/>
        <w:rPr>
          <w:rFonts w:cs="Calibri"/>
          <w:sz w:val="20"/>
          <w:szCs w:val="20"/>
        </w:rPr>
      </w:pPr>
      <w:r>
        <w:rPr>
          <w:rFonts w:cs="Calibri"/>
          <w:sz w:val="20"/>
          <w:szCs w:val="20"/>
        </w:rPr>
        <w:t xml:space="preserve">PN-EN 1097-5 Badania mechanicznych i fizycznych właściwości kruszyw – Część 5: Oznaczanie zawartości wody przez suszenie w suszarce z wentylacją; </w:t>
      </w:r>
    </w:p>
    <w:p>
      <w:pPr>
        <w:pStyle w:val="ListParagraph"/>
        <w:numPr>
          <w:ilvl w:val="0"/>
          <w:numId w:val="6"/>
        </w:numPr>
        <w:spacing w:lineRule="auto" w:line="240" w:before="0" w:after="0"/>
        <w:contextualSpacing/>
        <w:jc w:val="both"/>
        <w:rPr>
          <w:rFonts w:cs="Calibri"/>
          <w:sz w:val="20"/>
          <w:szCs w:val="20"/>
        </w:rPr>
      </w:pPr>
      <w:r>
        <w:rPr>
          <w:rFonts w:cs="Calibri"/>
          <w:sz w:val="20"/>
          <w:szCs w:val="20"/>
        </w:rPr>
        <w:t xml:space="preserve">PN-EN 1097-6 Badania mechanicznych i fizycznych właściwości kruszyw –Część 6: Oznaczanie gęstości ziaren </w:t>
        <w:br/>
        <w:t>i nasiąkliwości;</w:t>
      </w:r>
    </w:p>
    <w:p>
      <w:pPr>
        <w:pStyle w:val="ListParagraph"/>
        <w:numPr>
          <w:ilvl w:val="0"/>
          <w:numId w:val="6"/>
        </w:numPr>
        <w:spacing w:lineRule="auto" w:line="240" w:before="0" w:after="0"/>
        <w:contextualSpacing/>
        <w:jc w:val="both"/>
        <w:rPr>
          <w:rFonts w:cs="Calibri"/>
          <w:sz w:val="20"/>
          <w:szCs w:val="20"/>
        </w:rPr>
      </w:pPr>
      <w:r>
        <w:rPr>
          <w:rFonts w:cs="Calibri"/>
          <w:sz w:val="20"/>
          <w:szCs w:val="20"/>
        </w:rPr>
        <w:t>PN-EN 1097-7 Badania mechanicznych i fizycznych właściwości kruszyw – Część 7: Oznaczanie gęstości wypełniacza – Metoda piknometryczna;</w:t>
      </w:r>
    </w:p>
    <w:p>
      <w:pPr>
        <w:pStyle w:val="ListParagraph"/>
        <w:numPr>
          <w:ilvl w:val="0"/>
          <w:numId w:val="6"/>
        </w:numPr>
        <w:spacing w:lineRule="auto" w:line="240" w:before="0" w:after="0"/>
        <w:contextualSpacing/>
        <w:jc w:val="both"/>
        <w:rPr>
          <w:rFonts w:cs="Calibri"/>
          <w:sz w:val="20"/>
          <w:szCs w:val="20"/>
        </w:rPr>
      </w:pPr>
      <w:r>
        <w:rPr>
          <w:rFonts w:cs="Calibri"/>
          <w:sz w:val="20"/>
          <w:szCs w:val="20"/>
        </w:rPr>
        <w:t>PN-EN 1097-8 Badania mechanicznych i fizycznych właściwości kruszyw – Część 8: Oznaczanie polerowalności kamienia;</w:t>
      </w:r>
    </w:p>
    <w:p>
      <w:pPr>
        <w:pStyle w:val="ListParagraph"/>
        <w:numPr>
          <w:ilvl w:val="0"/>
          <w:numId w:val="6"/>
        </w:numPr>
        <w:spacing w:lineRule="auto" w:line="240" w:before="0" w:after="0"/>
        <w:contextualSpacing/>
        <w:jc w:val="both"/>
        <w:rPr>
          <w:rFonts w:cs="Calibri"/>
          <w:sz w:val="20"/>
          <w:szCs w:val="20"/>
        </w:rPr>
      </w:pPr>
      <w:r>
        <w:rPr>
          <w:rFonts w:cs="Calibri"/>
          <w:sz w:val="20"/>
          <w:szCs w:val="20"/>
        </w:rPr>
        <w:t xml:space="preserve">PN-EN 1367-1 Badania właściwości cieplnych i odporności kruszyw na działanie czynników atmosferycznych – Część 1: Oznaczanie mrozoodporności; </w:t>
      </w:r>
    </w:p>
    <w:p>
      <w:pPr>
        <w:pStyle w:val="ListParagraph"/>
        <w:numPr>
          <w:ilvl w:val="0"/>
          <w:numId w:val="6"/>
        </w:numPr>
        <w:spacing w:lineRule="auto" w:line="240" w:before="0" w:after="0"/>
        <w:contextualSpacing/>
        <w:jc w:val="both"/>
        <w:rPr>
          <w:rFonts w:cs="Calibri"/>
          <w:sz w:val="20"/>
          <w:szCs w:val="20"/>
        </w:rPr>
      </w:pPr>
      <w:r>
        <w:rPr>
          <w:rFonts w:cs="Calibri"/>
          <w:sz w:val="20"/>
          <w:szCs w:val="20"/>
        </w:rPr>
        <w:t>PN-EN 1367-3 Badania właściwości cieplnych i odporności kruszyw na działanie czynników atmosferycznych – Część 3: Badanie bazaltowej zgorzeli słonecznej metodą gotowania;</w:t>
      </w:r>
    </w:p>
    <w:p>
      <w:pPr>
        <w:pStyle w:val="ListParagraph"/>
        <w:numPr>
          <w:ilvl w:val="0"/>
          <w:numId w:val="6"/>
        </w:numPr>
        <w:spacing w:lineRule="auto" w:line="240" w:before="0" w:after="0"/>
        <w:contextualSpacing/>
        <w:jc w:val="both"/>
        <w:rPr>
          <w:rFonts w:cs="Calibri"/>
          <w:sz w:val="20"/>
          <w:szCs w:val="20"/>
        </w:rPr>
      </w:pPr>
      <w:r>
        <w:rPr>
          <w:rFonts w:cs="Calibri"/>
          <w:sz w:val="20"/>
          <w:szCs w:val="20"/>
        </w:rPr>
        <w:t>PN-EN 1426 Asfalty i produkty asfaltowe – Oznaczanie penetracji igłą;</w:t>
      </w:r>
    </w:p>
    <w:p>
      <w:pPr>
        <w:pStyle w:val="ListParagraph"/>
        <w:numPr>
          <w:ilvl w:val="0"/>
          <w:numId w:val="6"/>
        </w:numPr>
        <w:spacing w:lineRule="auto" w:line="240" w:before="0" w:after="0"/>
        <w:contextualSpacing/>
        <w:jc w:val="both"/>
        <w:rPr>
          <w:rFonts w:cs="Calibri"/>
          <w:sz w:val="20"/>
          <w:szCs w:val="20"/>
        </w:rPr>
      </w:pPr>
      <w:r>
        <w:rPr>
          <w:rFonts w:cs="Calibri"/>
          <w:sz w:val="20"/>
          <w:szCs w:val="20"/>
        </w:rPr>
        <w:t>PN-EN 1427 Asfalty i produkty asfaltowe – Oznaczanie temperatury mięknienia – Metodą „pierścień i kula”;</w:t>
      </w:r>
    </w:p>
    <w:p>
      <w:pPr>
        <w:pStyle w:val="ListParagraph"/>
        <w:numPr>
          <w:ilvl w:val="0"/>
          <w:numId w:val="6"/>
        </w:numPr>
        <w:spacing w:lineRule="auto" w:line="240" w:before="0" w:after="0"/>
        <w:contextualSpacing/>
        <w:jc w:val="both"/>
        <w:rPr>
          <w:rFonts w:cs="Calibri"/>
          <w:sz w:val="20"/>
          <w:szCs w:val="20"/>
        </w:rPr>
      </w:pPr>
      <w:r>
        <w:rPr>
          <w:rFonts w:cs="Calibri"/>
          <w:sz w:val="20"/>
          <w:szCs w:val="20"/>
        </w:rPr>
        <w:t>PN-EN 1428 Asfalty i lepiszcza asfaltowe – Oznaczanie zawartości wody w emulsjach asfaltowych – Metoda destylacji azeotropowej;</w:t>
      </w:r>
    </w:p>
    <w:p>
      <w:pPr>
        <w:pStyle w:val="ListParagraph"/>
        <w:numPr>
          <w:ilvl w:val="0"/>
          <w:numId w:val="6"/>
        </w:numPr>
        <w:spacing w:lineRule="auto" w:line="240" w:before="0" w:after="0"/>
        <w:contextualSpacing/>
        <w:jc w:val="both"/>
        <w:rPr>
          <w:rFonts w:cs="Calibri"/>
          <w:sz w:val="20"/>
          <w:szCs w:val="20"/>
        </w:rPr>
      </w:pPr>
      <w:r>
        <w:rPr>
          <w:rFonts w:cs="Calibri"/>
          <w:sz w:val="20"/>
          <w:szCs w:val="20"/>
        </w:rPr>
        <w:t>PN-EN 1429 Asfalty i lepiszcza asfaltowe – Oznaczanie pozostałości na sicie emulsji asfaltowych oraz trwałości podczas magazynowania metodą pozostałości na sicie;</w:t>
      </w:r>
    </w:p>
    <w:p>
      <w:pPr>
        <w:pStyle w:val="ListParagraph"/>
        <w:numPr>
          <w:ilvl w:val="0"/>
          <w:numId w:val="6"/>
        </w:numPr>
        <w:spacing w:lineRule="auto" w:line="240" w:before="0" w:after="0"/>
        <w:contextualSpacing/>
        <w:jc w:val="both"/>
        <w:rPr>
          <w:rFonts w:cs="Calibri"/>
          <w:sz w:val="20"/>
          <w:szCs w:val="20"/>
        </w:rPr>
      </w:pPr>
      <w:r>
        <w:rPr>
          <w:rFonts w:cs="Calibri"/>
          <w:sz w:val="20"/>
          <w:szCs w:val="20"/>
        </w:rPr>
        <w:t xml:space="preserve">PN-EN 1744-1 Badania chemicznych właściwości kruszyw – Analiza chemiczna; </w:t>
      </w:r>
    </w:p>
    <w:p>
      <w:pPr>
        <w:pStyle w:val="ListParagraph"/>
        <w:numPr>
          <w:ilvl w:val="0"/>
          <w:numId w:val="6"/>
        </w:numPr>
        <w:spacing w:lineRule="auto" w:line="240" w:before="0" w:after="0"/>
        <w:contextualSpacing/>
        <w:jc w:val="both"/>
        <w:rPr>
          <w:rFonts w:cs="Calibri"/>
          <w:sz w:val="20"/>
          <w:szCs w:val="20"/>
        </w:rPr>
      </w:pPr>
      <w:r>
        <w:rPr>
          <w:rFonts w:cs="Calibri"/>
          <w:sz w:val="20"/>
          <w:szCs w:val="20"/>
        </w:rPr>
        <w:t>PN-EN 1744-4 Badania chemicznych właściwości kruszyw – Część 4: Oznaczanie podatności wypełniaczy do mieszanek mineralno-asfaltowych na działanie wody;</w:t>
      </w:r>
    </w:p>
    <w:p>
      <w:pPr>
        <w:pStyle w:val="ListParagraph"/>
        <w:numPr>
          <w:ilvl w:val="0"/>
          <w:numId w:val="6"/>
        </w:numPr>
        <w:spacing w:lineRule="auto" w:line="240" w:before="0" w:after="0"/>
        <w:contextualSpacing/>
        <w:jc w:val="both"/>
        <w:rPr>
          <w:rFonts w:cs="Calibri"/>
          <w:sz w:val="20"/>
          <w:szCs w:val="20"/>
        </w:rPr>
      </w:pPr>
      <w:r>
        <w:rPr>
          <w:rFonts w:cs="Calibri"/>
          <w:sz w:val="20"/>
          <w:szCs w:val="20"/>
        </w:rPr>
        <w:t>PN-EN 12591 Asfalty i produkty asfaltowe – Wymagania dla asfaltów drogowych;</w:t>
      </w:r>
    </w:p>
    <w:p>
      <w:pPr>
        <w:pStyle w:val="ListParagraph"/>
        <w:numPr>
          <w:ilvl w:val="0"/>
          <w:numId w:val="6"/>
        </w:numPr>
        <w:spacing w:lineRule="auto" w:line="240" w:before="0" w:after="0"/>
        <w:contextualSpacing/>
        <w:jc w:val="both"/>
        <w:rPr>
          <w:rFonts w:cs="Calibri"/>
          <w:sz w:val="20"/>
          <w:szCs w:val="20"/>
        </w:rPr>
      </w:pPr>
      <w:r>
        <w:rPr>
          <w:rFonts w:cs="Calibri"/>
          <w:sz w:val="20"/>
          <w:szCs w:val="20"/>
        </w:rPr>
        <w:t>PN-EN 12592 Asfalty i produkty asfaltowe – Oznaczanie rozpuszczalności;</w:t>
      </w:r>
    </w:p>
    <w:p>
      <w:pPr>
        <w:pStyle w:val="ListParagraph"/>
        <w:numPr>
          <w:ilvl w:val="0"/>
          <w:numId w:val="6"/>
        </w:numPr>
        <w:spacing w:lineRule="auto" w:line="240" w:before="0" w:after="0"/>
        <w:contextualSpacing/>
        <w:jc w:val="both"/>
        <w:rPr>
          <w:rFonts w:cs="Calibri"/>
          <w:sz w:val="20"/>
          <w:szCs w:val="20"/>
        </w:rPr>
      </w:pPr>
      <w:r>
        <w:rPr>
          <w:rFonts w:cs="Calibri"/>
          <w:sz w:val="20"/>
          <w:szCs w:val="20"/>
        </w:rPr>
        <w:t>PN-EN 12593 Asfalty i produkty asfaltowe – Oznaczanie temperatury łamliwości Fraassa;</w:t>
      </w:r>
    </w:p>
    <w:p>
      <w:pPr>
        <w:pStyle w:val="ListParagraph"/>
        <w:numPr>
          <w:ilvl w:val="0"/>
          <w:numId w:val="6"/>
        </w:numPr>
        <w:spacing w:lineRule="auto" w:line="240" w:before="0" w:after="0"/>
        <w:contextualSpacing/>
        <w:jc w:val="both"/>
        <w:rPr>
          <w:rFonts w:cs="Calibri"/>
          <w:sz w:val="20"/>
          <w:szCs w:val="20"/>
        </w:rPr>
      </w:pPr>
      <w:r>
        <w:rPr>
          <w:rFonts w:cs="Calibri"/>
          <w:sz w:val="20"/>
          <w:szCs w:val="20"/>
        </w:rPr>
        <w:t>PN-EN 12606-1 Asfalty i produkty asfaltowe – Oznaczanie zawartości parafiny – Część 1: Metoda destylacyjna</w:t>
      </w:r>
    </w:p>
    <w:p>
      <w:pPr>
        <w:pStyle w:val="ListParagraph"/>
        <w:numPr>
          <w:ilvl w:val="0"/>
          <w:numId w:val="6"/>
        </w:numPr>
        <w:spacing w:lineRule="auto" w:line="240" w:before="0" w:after="0"/>
        <w:contextualSpacing/>
        <w:jc w:val="both"/>
        <w:rPr>
          <w:rFonts w:cs="Calibri"/>
          <w:sz w:val="20"/>
          <w:szCs w:val="20"/>
        </w:rPr>
      </w:pPr>
      <w:r>
        <w:rPr>
          <w:rFonts w:cs="Calibri"/>
          <w:sz w:val="20"/>
          <w:szCs w:val="20"/>
        </w:rPr>
        <w:t xml:space="preserve">PN-EN 12607-1 Asfalty i produkty asfaltowe – Oznaczanie odporności na twardnienie pod wpływem ciepła </w:t>
        <w:br/>
        <w:t xml:space="preserve">i powietrza – Część 1: Metoda RTFOT </w:t>
      </w:r>
    </w:p>
    <w:p>
      <w:pPr>
        <w:pStyle w:val="ListParagraph"/>
        <w:numPr>
          <w:ilvl w:val="0"/>
          <w:numId w:val="6"/>
        </w:numPr>
        <w:spacing w:lineRule="auto" w:line="240" w:before="0" w:after="0"/>
        <w:contextualSpacing/>
        <w:jc w:val="both"/>
        <w:rPr>
          <w:rFonts w:cs="Calibri"/>
          <w:sz w:val="20"/>
          <w:szCs w:val="20"/>
        </w:rPr>
      </w:pPr>
      <w:r>
        <w:rPr>
          <w:rFonts w:cs="Calibri"/>
          <w:sz w:val="20"/>
          <w:szCs w:val="20"/>
        </w:rPr>
        <w:t>PN-EN 12607-3 jw. Część 3: Metoda RFT;</w:t>
      </w:r>
    </w:p>
    <w:p>
      <w:pPr>
        <w:pStyle w:val="ListParagraph"/>
        <w:numPr>
          <w:ilvl w:val="0"/>
          <w:numId w:val="6"/>
        </w:numPr>
        <w:spacing w:lineRule="auto" w:line="240" w:before="0" w:after="0"/>
        <w:contextualSpacing/>
        <w:jc w:val="both"/>
        <w:rPr>
          <w:rFonts w:cs="Calibri"/>
          <w:sz w:val="20"/>
          <w:szCs w:val="20"/>
        </w:rPr>
      </w:pPr>
      <w:r>
        <w:rPr>
          <w:rFonts w:cs="Calibri"/>
          <w:sz w:val="20"/>
          <w:szCs w:val="20"/>
        </w:rPr>
        <w:t>PN-EN 12697-6 Mieszanki mineralno-asfaltowe – Metody badań mieszanek mineralnoasfaltowych na gorąco – Część 6: Oznaczanie gęstości objętościowej metodą hydrostatyczną</w:t>
      </w:r>
    </w:p>
    <w:p>
      <w:pPr>
        <w:pStyle w:val="ListParagraph"/>
        <w:numPr>
          <w:ilvl w:val="0"/>
          <w:numId w:val="6"/>
        </w:numPr>
        <w:spacing w:lineRule="auto" w:line="240" w:before="0" w:after="0"/>
        <w:contextualSpacing/>
        <w:jc w:val="both"/>
        <w:rPr>
          <w:rFonts w:cs="Calibri"/>
          <w:sz w:val="20"/>
          <w:szCs w:val="20"/>
        </w:rPr>
      </w:pPr>
      <w:r>
        <w:rPr>
          <w:rFonts w:cs="Calibri"/>
          <w:sz w:val="20"/>
          <w:szCs w:val="20"/>
        </w:rPr>
        <w:t xml:space="preserve">PN-EN 12697-8 Mieszanki mineralno-asfaltowe – Metody badań mieszanek mineralnoasfaltowych na gorąco – Część 8: Oznaczanie zawartości wolnej przestrzeni; </w:t>
      </w:r>
    </w:p>
    <w:p>
      <w:pPr>
        <w:pStyle w:val="ListParagraph"/>
        <w:numPr>
          <w:ilvl w:val="0"/>
          <w:numId w:val="6"/>
        </w:numPr>
        <w:spacing w:lineRule="auto" w:line="240" w:before="0" w:after="0"/>
        <w:contextualSpacing/>
        <w:jc w:val="both"/>
        <w:rPr>
          <w:rFonts w:cs="Calibri"/>
          <w:sz w:val="20"/>
          <w:szCs w:val="20"/>
        </w:rPr>
      </w:pPr>
      <w:r>
        <w:rPr>
          <w:rFonts w:cs="Calibri"/>
          <w:sz w:val="20"/>
          <w:szCs w:val="20"/>
        </w:rPr>
        <w:t xml:space="preserve">PN-EN 12697-11 Mieszanki mineralno-asfaltowe – Metody badań mieszanek mineralnoasfaltowych na gorąco – Część 11: Określenie powiązania pomiędzy kruszywem i asfaltem </w:t>
      </w:r>
    </w:p>
    <w:p>
      <w:pPr>
        <w:pStyle w:val="ListParagraph"/>
        <w:numPr>
          <w:ilvl w:val="0"/>
          <w:numId w:val="6"/>
        </w:numPr>
        <w:spacing w:lineRule="auto" w:line="240" w:before="0" w:after="0"/>
        <w:contextualSpacing/>
        <w:jc w:val="both"/>
        <w:rPr>
          <w:rFonts w:cs="Calibri"/>
          <w:sz w:val="20"/>
          <w:szCs w:val="20"/>
        </w:rPr>
      </w:pPr>
      <w:r>
        <w:rPr>
          <w:rFonts w:cs="Calibri"/>
          <w:sz w:val="20"/>
          <w:szCs w:val="20"/>
        </w:rPr>
        <w:t>PN-EN 12697-12 Mieszanki mineralno-asfaltowe – Metody badań mieszanek mineralnoasfaltowych na gorąco – Część 12: Określanie wrażliwości na wodę;</w:t>
      </w:r>
    </w:p>
    <w:p>
      <w:pPr>
        <w:pStyle w:val="ListParagraph"/>
        <w:numPr>
          <w:ilvl w:val="0"/>
          <w:numId w:val="6"/>
        </w:numPr>
        <w:spacing w:lineRule="auto" w:line="240" w:before="0" w:after="0"/>
        <w:contextualSpacing/>
        <w:jc w:val="both"/>
        <w:rPr>
          <w:rFonts w:cs="Calibri"/>
          <w:sz w:val="20"/>
          <w:szCs w:val="20"/>
        </w:rPr>
      </w:pPr>
      <w:r>
        <w:rPr>
          <w:rFonts w:cs="Calibri"/>
          <w:sz w:val="20"/>
          <w:szCs w:val="20"/>
        </w:rPr>
        <w:t xml:space="preserve">PN-EN 12697-13 Mieszanki mineralno-asfaltowe – Metody badań mieszanek mineralnoasfaltowych na gorąco – Część 13: Pomiar temperatury; </w:t>
      </w:r>
    </w:p>
    <w:p>
      <w:pPr>
        <w:pStyle w:val="ListParagraph"/>
        <w:numPr>
          <w:ilvl w:val="0"/>
          <w:numId w:val="6"/>
        </w:numPr>
        <w:spacing w:lineRule="auto" w:line="240" w:before="0" w:after="0"/>
        <w:contextualSpacing/>
        <w:jc w:val="both"/>
        <w:rPr>
          <w:rFonts w:cs="Calibri"/>
          <w:sz w:val="20"/>
          <w:szCs w:val="20"/>
        </w:rPr>
      </w:pPr>
      <w:r>
        <w:rPr>
          <w:rFonts w:cs="Calibri"/>
          <w:sz w:val="20"/>
          <w:szCs w:val="20"/>
        </w:rPr>
        <w:t>PN-EN 12697-18 Mieszanki mineralno-asfaltowe – Metody badań mieszanek mineralnoasfaltowych na gorąco – Część 18: Spływanie lepiszcza;</w:t>
      </w:r>
    </w:p>
    <w:p>
      <w:pPr>
        <w:pStyle w:val="ListParagraph"/>
        <w:numPr>
          <w:ilvl w:val="0"/>
          <w:numId w:val="6"/>
        </w:numPr>
        <w:spacing w:lineRule="auto" w:line="240" w:before="0" w:after="0"/>
        <w:contextualSpacing/>
        <w:jc w:val="both"/>
        <w:rPr>
          <w:rFonts w:cs="Calibri"/>
          <w:sz w:val="20"/>
          <w:szCs w:val="20"/>
        </w:rPr>
      </w:pPr>
      <w:r>
        <w:rPr>
          <w:rFonts w:cs="Calibri"/>
          <w:sz w:val="20"/>
          <w:szCs w:val="20"/>
        </w:rPr>
        <w:t>PN-EN 12697-22 Mieszanki mineralno-asfaltowe – Metody badań mieszanek mineralnoasfaltowych na gorąco – Część 22: Koleinowanie;</w:t>
      </w:r>
    </w:p>
    <w:p>
      <w:pPr>
        <w:pStyle w:val="ListParagraph"/>
        <w:numPr>
          <w:ilvl w:val="0"/>
          <w:numId w:val="6"/>
        </w:numPr>
        <w:spacing w:lineRule="auto" w:line="240" w:before="0" w:after="0"/>
        <w:contextualSpacing/>
        <w:jc w:val="both"/>
        <w:rPr>
          <w:rFonts w:cs="Calibri"/>
          <w:sz w:val="20"/>
          <w:szCs w:val="20"/>
        </w:rPr>
      </w:pPr>
      <w:r>
        <w:rPr>
          <w:rFonts w:cs="Calibri"/>
          <w:sz w:val="20"/>
          <w:szCs w:val="20"/>
        </w:rPr>
        <w:t>PN-EN 12697-27 Mieszanki mineralno-asfaltowe – Metody badań mieszanek mineralnoasfaltowych na gorąco – Część 27: Pobieranie próbek;</w:t>
      </w:r>
    </w:p>
    <w:p>
      <w:pPr>
        <w:pStyle w:val="ListParagraph"/>
        <w:numPr>
          <w:ilvl w:val="0"/>
          <w:numId w:val="6"/>
        </w:numPr>
        <w:spacing w:lineRule="auto" w:line="240" w:before="0" w:after="0"/>
        <w:contextualSpacing/>
        <w:jc w:val="both"/>
        <w:rPr>
          <w:rFonts w:cs="Calibri"/>
          <w:sz w:val="20"/>
          <w:szCs w:val="20"/>
        </w:rPr>
      </w:pPr>
      <w:r>
        <w:rPr>
          <w:rFonts w:cs="Calibri"/>
          <w:sz w:val="20"/>
          <w:szCs w:val="20"/>
        </w:rPr>
        <w:t>PN-EN 12697-36 Mieszanki mineralno-asfaltowe – Metody badań mieszanek mineralnoasfaltowych na gorąco – Część 36: Oznaczanie grubości nawierzchni asfaltowych;</w:t>
      </w:r>
    </w:p>
    <w:p>
      <w:pPr>
        <w:pStyle w:val="ListParagraph"/>
        <w:numPr>
          <w:ilvl w:val="0"/>
          <w:numId w:val="6"/>
        </w:numPr>
        <w:spacing w:lineRule="auto" w:line="240" w:before="0" w:after="0"/>
        <w:contextualSpacing/>
        <w:jc w:val="both"/>
        <w:rPr>
          <w:rFonts w:cs="Calibri"/>
          <w:sz w:val="20"/>
          <w:szCs w:val="20"/>
        </w:rPr>
      </w:pPr>
      <w:r>
        <w:rPr>
          <w:rFonts w:cs="Calibri"/>
          <w:sz w:val="20"/>
          <w:szCs w:val="20"/>
        </w:rPr>
        <w:t>PN-EN 12846 Asfalty i lepiszcza asfaltowe – Oznaczanie czasu wypływu emulsji asfaltowych lepkościomierzem wypływowym;</w:t>
      </w:r>
    </w:p>
    <w:p>
      <w:pPr>
        <w:pStyle w:val="ListParagraph"/>
        <w:numPr>
          <w:ilvl w:val="0"/>
          <w:numId w:val="6"/>
        </w:numPr>
        <w:spacing w:lineRule="auto" w:line="240" w:before="0" w:after="0"/>
        <w:contextualSpacing/>
        <w:jc w:val="both"/>
        <w:rPr>
          <w:rFonts w:cs="Calibri"/>
          <w:sz w:val="20"/>
          <w:szCs w:val="20"/>
        </w:rPr>
      </w:pPr>
      <w:r>
        <w:rPr>
          <w:rFonts w:cs="Calibri"/>
          <w:sz w:val="20"/>
          <w:szCs w:val="20"/>
        </w:rPr>
        <w:t>PN-EN 12847 Asfalty i lepiszcza asfaltowe – Oznaczanie sedymentacji emulsji asfaltowych;</w:t>
      </w:r>
    </w:p>
    <w:p>
      <w:pPr>
        <w:pStyle w:val="ListParagraph"/>
        <w:numPr>
          <w:ilvl w:val="0"/>
          <w:numId w:val="6"/>
        </w:numPr>
        <w:spacing w:lineRule="auto" w:line="240" w:before="0" w:after="0"/>
        <w:contextualSpacing/>
        <w:jc w:val="both"/>
        <w:rPr>
          <w:rFonts w:cs="Calibri"/>
          <w:sz w:val="20"/>
          <w:szCs w:val="20"/>
        </w:rPr>
      </w:pPr>
      <w:r>
        <w:rPr>
          <w:rFonts w:cs="Calibri"/>
          <w:sz w:val="20"/>
          <w:szCs w:val="20"/>
        </w:rPr>
        <w:t>PN-EN 12850 Asfalty i lepiszcza asfaltowe – Oznaczanie wartości pH emulsji asfaltowych;</w:t>
      </w:r>
    </w:p>
    <w:p>
      <w:pPr>
        <w:pStyle w:val="ListParagraph"/>
        <w:numPr>
          <w:ilvl w:val="0"/>
          <w:numId w:val="6"/>
        </w:numPr>
        <w:spacing w:lineRule="auto" w:line="240" w:before="0" w:after="0"/>
        <w:contextualSpacing/>
        <w:jc w:val="both"/>
        <w:rPr>
          <w:rFonts w:cs="Calibri"/>
          <w:sz w:val="20"/>
          <w:szCs w:val="20"/>
        </w:rPr>
      </w:pPr>
      <w:r>
        <w:rPr>
          <w:rFonts w:cs="Calibri"/>
          <w:sz w:val="20"/>
          <w:szCs w:val="20"/>
        </w:rPr>
        <w:t>PN-EN 13043 Kruszywa do mieszanek bitumicznych i powierzchniowych utrwaleń stosowanych na drogach, lotniskach i innych powierzchniach przeznaczonych do ruchu;</w:t>
      </w:r>
    </w:p>
    <w:p>
      <w:pPr>
        <w:pStyle w:val="ListParagraph"/>
        <w:numPr>
          <w:ilvl w:val="0"/>
          <w:numId w:val="6"/>
        </w:numPr>
        <w:spacing w:lineRule="auto" w:line="240" w:before="0" w:after="0"/>
        <w:contextualSpacing/>
        <w:jc w:val="both"/>
        <w:rPr>
          <w:rFonts w:cs="Calibri"/>
          <w:sz w:val="20"/>
          <w:szCs w:val="20"/>
        </w:rPr>
      </w:pPr>
      <w:r>
        <w:rPr>
          <w:rFonts w:cs="Calibri"/>
          <w:sz w:val="20"/>
          <w:szCs w:val="20"/>
        </w:rPr>
        <w:t>PN-EN 13074 Asfalty i lepiszcza asfaltowe – Oznaczanie lepiszczy z emulsji asfaltowych przez odparowanie;</w:t>
      </w:r>
    </w:p>
    <w:p>
      <w:pPr>
        <w:pStyle w:val="ListParagraph"/>
        <w:numPr>
          <w:ilvl w:val="0"/>
          <w:numId w:val="6"/>
        </w:numPr>
        <w:spacing w:lineRule="auto" w:line="240" w:before="0" w:after="0"/>
        <w:contextualSpacing/>
        <w:jc w:val="both"/>
        <w:rPr>
          <w:rFonts w:cs="Calibri"/>
          <w:sz w:val="20"/>
          <w:szCs w:val="20"/>
        </w:rPr>
      </w:pPr>
      <w:r>
        <w:rPr>
          <w:rFonts w:cs="Calibri"/>
          <w:sz w:val="20"/>
          <w:szCs w:val="20"/>
        </w:rPr>
        <w:t>PN-EN 13075-1 Asfalty i lepiszcza asfaltowe – Badanie rozpadu – Część 1: Oznaczanie indeksu rozpadu kationowych emulsji asfaltowych, metoda z wypełniaczem mineralnym;</w:t>
      </w:r>
    </w:p>
    <w:p>
      <w:pPr>
        <w:pStyle w:val="ListParagraph"/>
        <w:numPr>
          <w:ilvl w:val="0"/>
          <w:numId w:val="6"/>
        </w:numPr>
        <w:spacing w:lineRule="auto" w:line="240" w:before="0" w:after="0"/>
        <w:contextualSpacing/>
        <w:jc w:val="both"/>
        <w:rPr>
          <w:rFonts w:cs="Calibri"/>
          <w:sz w:val="20"/>
          <w:szCs w:val="20"/>
        </w:rPr>
      </w:pPr>
      <w:r>
        <w:rPr>
          <w:rFonts w:cs="Calibri"/>
          <w:sz w:val="20"/>
          <w:szCs w:val="20"/>
        </w:rPr>
        <w:t>PN-EN 13108-1 Mieszanki mineralno-asfaltowe – Wymagania – Część 1: Beton Asfaltowy;</w:t>
      </w:r>
    </w:p>
    <w:p>
      <w:pPr>
        <w:pStyle w:val="ListParagraph"/>
        <w:numPr>
          <w:ilvl w:val="0"/>
          <w:numId w:val="6"/>
        </w:numPr>
        <w:spacing w:lineRule="auto" w:line="240" w:before="0" w:after="0"/>
        <w:contextualSpacing/>
        <w:jc w:val="both"/>
        <w:rPr>
          <w:rFonts w:cs="Calibri"/>
          <w:sz w:val="20"/>
          <w:szCs w:val="20"/>
        </w:rPr>
      </w:pPr>
      <w:r>
        <w:rPr>
          <w:rFonts w:cs="Calibri"/>
          <w:sz w:val="20"/>
          <w:szCs w:val="20"/>
        </w:rPr>
        <w:t>PN-EN 13108-20 Mieszanki mineralno-asfaltowe – Wymagania – Część 20: Badanie typu;</w:t>
      </w:r>
    </w:p>
    <w:p>
      <w:pPr>
        <w:pStyle w:val="ListParagraph"/>
        <w:numPr>
          <w:ilvl w:val="0"/>
          <w:numId w:val="6"/>
        </w:numPr>
        <w:spacing w:lineRule="auto" w:line="240" w:before="0" w:after="0"/>
        <w:contextualSpacing/>
        <w:jc w:val="both"/>
        <w:rPr>
          <w:rFonts w:cs="Calibri"/>
          <w:sz w:val="20"/>
          <w:szCs w:val="20"/>
        </w:rPr>
      </w:pPr>
      <w:r>
        <w:rPr>
          <w:rFonts w:cs="Calibri"/>
          <w:sz w:val="20"/>
          <w:szCs w:val="20"/>
        </w:rPr>
        <w:t>PN-EN 13179-1 Badania kruszyw wypełniających stosowanych do mieszanek bitumicznych – Część 1: Badanie metodą Pierścienia i Kuli;</w:t>
      </w:r>
    </w:p>
    <w:p>
      <w:pPr>
        <w:pStyle w:val="ListParagraph"/>
        <w:numPr>
          <w:ilvl w:val="0"/>
          <w:numId w:val="6"/>
        </w:numPr>
        <w:spacing w:lineRule="auto" w:line="240" w:before="0" w:after="0"/>
        <w:contextualSpacing/>
        <w:jc w:val="both"/>
        <w:rPr>
          <w:rFonts w:cs="Calibri"/>
          <w:sz w:val="20"/>
          <w:szCs w:val="20"/>
        </w:rPr>
      </w:pPr>
      <w:r>
        <w:rPr>
          <w:rFonts w:cs="Calibri"/>
          <w:sz w:val="20"/>
          <w:szCs w:val="20"/>
        </w:rPr>
        <w:t>PN-EN 13179-2 Badania kruszyw wypełniających stosowanych do mieszanek bitumicznych – Część 2: Liczba bitumiczna;</w:t>
      </w:r>
    </w:p>
    <w:p>
      <w:pPr>
        <w:pStyle w:val="ListParagraph"/>
        <w:numPr>
          <w:ilvl w:val="0"/>
          <w:numId w:val="6"/>
        </w:numPr>
        <w:spacing w:lineRule="auto" w:line="240" w:before="0" w:after="0"/>
        <w:contextualSpacing/>
        <w:jc w:val="both"/>
        <w:rPr>
          <w:rFonts w:cs="Calibri"/>
          <w:sz w:val="20"/>
          <w:szCs w:val="20"/>
        </w:rPr>
      </w:pPr>
      <w:r>
        <w:rPr>
          <w:rFonts w:cs="Calibri"/>
          <w:sz w:val="20"/>
          <w:szCs w:val="20"/>
        </w:rPr>
        <w:t>PN-EN 13398 Asfalty i lepiszcza asfaltowe – Oznaczanie nawrotu sprężystego asfaltów modyfikowanych;</w:t>
      </w:r>
    </w:p>
    <w:p>
      <w:pPr>
        <w:pStyle w:val="ListParagraph"/>
        <w:numPr>
          <w:ilvl w:val="0"/>
          <w:numId w:val="6"/>
        </w:numPr>
        <w:spacing w:lineRule="auto" w:line="240" w:before="0" w:after="0"/>
        <w:contextualSpacing/>
        <w:jc w:val="both"/>
        <w:rPr>
          <w:rFonts w:cs="Calibri"/>
          <w:sz w:val="20"/>
          <w:szCs w:val="20"/>
        </w:rPr>
      </w:pPr>
      <w:r>
        <w:rPr>
          <w:rFonts w:cs="Calibri"/>
          <w:sz w:val="20"/>
          <w:szCs w:val="20"/>
        </w:rPr>
        <w:t>PN-EN 13399 Asfalty i lepiszcza asfaltowe – Oznaczanie odporności na magazynowanie modyfikowanych asfaltów;</w:t>
      </w:r>
    </w:p>
    <w:p>
      <w:pPr>
        <w:pStyle w:val="ListParagraph"/>
        <w:numPr>
          <w:ilvl w:val="0"/>
          <w:numId w:val="6"/>
        </w:numPr>
        <w:spacing w:lineRule="auto" w:line="240" w:before="0" w:after="0"/>
        <w:contextualSpacing/>
        <w:jc w:val="both"/>
        <w:rPr>
          <w:rFonts w:cs="Calibri"/>
          <w:sz w:val="20"/>
          <w:szCs w:val="20"/>
        </w:rPr>
      </w:pPr>
      <w:r>
        <w:rPr>
          <w:rFonts w:cs="Calibri"/>
          <w:sz w:val="20"/>
          <w:szCs w:val="20"/>
        </w:rPr>
        <w:t xml:space="preserve">PN-EN 13587 Asfalty i lepiszcza asfaltowe – Oznaczanie ciągliwości lepiszczy asfaltowych metodą pomiaru ciągliwości; </w:t>
      </w:r>
    </w:p>
    <w:p>
      <w:pPr>
        <w:pStyle w:val="ListParagraph"/>
        <w:numPr>
          <w:ilvl w:val="0"/>
          <w:numId w:val="6"/>
        </w:numPr>
        <w:spacing w:lineRule="auto" w:line="240" w:before="0" w:after="0"/>
        <w:contextualSpacing/>
        <w:jc w:val="both"/>
        <w:rPr>
          <w:rFonts w:cs="Calibri"/>
          <w:sz w:val="20"/>
          <w:szCs w:val="20"/>
        </w:rPr>
      </w:pPr>
      <w:r>
        <w:rPr>
          <w:rFonts w:cs="Calibri"/>
          <w:sz w:val="20"/>
          <w:szCs w:val="20"/>
        </w:rPr>
        <w:t>PN-EN 13588 Asfalty i lepiszcza asfaltowe – Oznaczanie kohezji lepiszczy asfaltowych metodą testu wahadłowego;</w:t>
      </w:r>
    </w:p>
    <w:p>
      <w:pPr>
        <w:pStyle w:val="ListParagraph"/>
        <w:numPr>
          <w:ilvl w:val="0"/>
          <w:numId w:val="6"/>
        </w:numPr>
        <w:spacing w:lineRule="auto" w:line="240" w:before="0" w:after="0"/>
        <w:contextualSpacing/>
        <w:jc w:val="both"/>
        <w:rPr>
          <w:rFonts w:cs="Calibri"/>
          <w:sz w:val="20"/>
          <w:szCs w:val="20"/>
        </w:rPr>
      </w:pPr>
      <w:r>
        <w:rPr>
          <w:rFonts w:cs="Calibri"/>
          <w:sz w:val="20"/>
          <w:szCs w:val="20"/>
        </w:rPr>
        <w:t xml:space="preserve">PN-EN 13589 Asfalty i lepiszcza asfaltowe – Oznaczanie ciągliwości modyfikowanych asfaltów – Metoda </w:t>
        <w:br/>
        <w:t>z duktylometrem;</w:t>
      </w:r>
    </w:p>
    <w:p>
      <w:pPr>
        <w:pStyle w:val="ListParagraph"/>
        <w:numPr>
          <w:ilvl w:val="0"/>
          <w:numId w:val="6"/>
        </w:numPr>
        <w:spacing w:lineRule="auto" w:line="240" w:before="0" w:after="0"/>
        <w:contextualSpacing/>
        <w:jc w:val="both"/>
        <w:rPr>
          <w:rFonts w:cs="Calibri"/>
          <w:sz w:val="20"/>
          <w:szCs w:val="20"/>
        </w:rPr>
      </w:pPr>
      <w:r>
        <w:rPr>
          <w:rFonts w:cs="Calibri"/>
          <w:sz w:val="20"/>
          <w:szCs w:val="20"/>
        </w:rPr>
        <w:t>PN-EN 13614 Asfalty i lepiszcza asfaltowe – Oznaczanie przyczepności emulsji bitumicznych przez zanurzenie w wodzie – Metoda z kruszywem;</w:t>
      </w:r>
    </w:p>
    <w:p>
      <w:pPr>
        <w:pStyle w:val="ListParagraph"/>
        <w:numPr>
          <w:ilvl w:val="0"/>
          <w:numId w:val="6"/>
        </w:numPr>
        <w:spacing w:lineRule="auto" w:line="240" w:before="0" w:after="0"/>
        <w:contextualSpacing/>
        <w:jc w:val="both"/>
        <w:rPr>
          <w:rFonts w:cs="Calibri"/>
          <w:sz w:val="20"/>
          <w:szCs w:val="20"/>
        </w:rPr>
      </w:pPr>
      <w:r>
        <w:rPr>
          <w:rFonts w:cs="Calibri"/>
          <w:sz w:val="20"/>
          <w:szCs w:val="20"/>
        </w:rPr>
        <w:t>PN-EN 13703 Asfalty i lepiszcza asfaltowe – Oznaczanie energii deformacji;</w:t>
      </w:r>
    </w:p>
    <w:p>
      <w:pPr>
        <w:pStyle w:val="ListParagraph"/>
        <w:numPr>
          <w:ilvl w:val="0"/>
          <w:numId w:val="6"/>
        </w:numPr>
        <w:spacing w:lineRule="auto" w:line="240" w:before="0" w:after="0"/>
        <w:contextualSpacing/>
        <w:jc w:val="both"/>
        <w:rPr>
          <w:rFonts w:cs="Calibri"/>
          <w:sz w:val="20"/>
          <w:szCs w:val="20"/>
        </w:rPr>
      </w:pPr>
      <w:r>
        <w:rPr>
          <w:rFonts w:cs="Calibri"/>
          <w:sz w:val="20"/>
          <w:szCs w:val="20"/>
        </w:rPr>
        <w:t>PN-EN 13808 Asfalty i lepiszcza asfaltowe – Zasady specyfikacji kationowych emulsji asfaltowych;</w:t>
      </w:r>
    </w:p>
    <w:p>
      <w:pPr>
        <w:pStyle w:val="ListParagraph"/>
        <w:numPr>
          <w:ilvl w:val="0"/>
          <w:numId w:val="6"/>
        </w:numPr>
        <w:spacing w:lineRule="auto" w:line="240" w:before="0" w:after="0"/>
        <w:contextualSpacing/>
        <w:jc w:val="both"/>
        <w:rPr>
          <w:rFonts w:cs="Calibri"/>
          <w:sz w:val="20"/>
          <w:szCs w:val="20"/>
        </w:rPr>
      </w:pPr>
      <w:r>
        <w:rPr>
          <w:rFonts w:cs="Calibri"/>
          <w:sz w:val="20"/>
          <w:szCs w:val="20"/>
        </w:rPr>
        <w:t>PN-EN 14023 Asfalty i lepiszcza asfaltowe – Zasady specyfikacji asfaltów modyfikowanych polimerami;</w:t>
      </w:r>
    </w:p>
    <w:p>
      <w:pPr>
        <w:pStyle w:val="ListParagraph"/>
        <w:numPr>
          <w:ilvl w:val="0"/>
          <w:numId w:val="6"/>
        </w:numPr>
        <w:spacing w:lineRule="auto" w:line="240" w:before="0" w:after="0"/>
        <w:contextualSpacing/>
        <w:jc w:val="both"/>
        <w:rPr>
          <w:rFonts w:cs="Calibri"/>
          <w:sz w:val="20"/>
          <w:szCs w:val="20"/>
        </w:rPr>
      </w:pPr>
      <w:r>
        <w:rPr>
          <w:rFonts w:cs="Calibri"/>
          <w:sz w:val="20"/>
          <w:szCs w:val="20"/>
        </w:rPr>
        <w:t xml:space="preserve">PN-EN 14188-1 Wypełniacze złączy i zalewy – Część 1: Specyfikacja zalew na gorąco; </w:t>
      </w:r>
    </w:p>
    <w:p>
      <w:pPr>
        <w:pStyle w:val="ListParagraph"/>
        <w:numPr>
          <w:ilvl w:val="0"/>
          <w:numId w:val="6"/>
        </w:numPr>
        <w:spacing w:lineRule="auto" w:line="240" w:before="0" w:after="0"/>
        <w:contextualSpacing/>
        <w:jc w:val="both"/>
        <w:rPr>
          <w:rFonts w:cs="Calibri"/>
          <w:sz w:val="20"/>
          <w:szCs w:val="20"/>
        </w:rPr>
      </w:pPr>
      <w:r>
        <w:rPr>
          <w:rFonts w:cs="Calibri"/>
          <w:sz w:val="20"/>
          <w:szCs w:val="20"/>
        </w:rPr>
        <w:t>PN-EN 14188-2 Wypełniacze złączy i zalewy – Część 2: Specyfikacja zalew na zimno;</w:t>
      </w:r>
    </w:p>
    <w:p>
      <w:pPr>
        <w:pStyle w:val="ListParagraph"/>
        <w:numPr>
          <w:ilvl w:val="0"/>
          <w:numId w:val="6"/>
        </w:numPr>
        <w:spacing w:lineRule="auto" w:line="240" w:before="0" w:after="0"/>
        <w:contextualSpacing/>
        <w:jc w:val="both"/>
        <w:rPr>
          <w:rFonts w:cs="Calibri"/>
          <w:sz w:val="20"/>
          <w:szCs w:val="20"/>
        </w:rPr>
      </w:pPr>
      <w:r>
        <w:rPr>
          <w:rFonts w:cs="Calibri"/>
          <w:sz w:val="20"/>
          <w:szCs w:val="20"/>
        </w:rPr>
        <w:t>PN-EN 22592 Przetwory naftowe – Oznaczanie temperatury zapłonu i palenia – Pomiar metodą otwartego tygla Clevelanda;</w:t>
      </w:r>
    </w:p>
    <w:p>
      <w:pPr>
        <w:pStyle w:val="ListParagraph"/>
        <w:numPr>
          <w:ilvl w:val="0"/>
          <w:numId w:val="6"/>
        </w:numPr>
        <w:spacing w:lineRule="auto" w:line="240" w:before="0" w:after="0"/>
        <w:contextualSpacing/>
        <w:jc w:val="both"/>
        <w:rPr>
          <w:rFonts w:cs="Calibri"/>
          <w:sz w:val="20"/>
          <w:szCs w:val="20"/>
        </w:rPr>
      </w:pPr>
      <w:r>
        <w:rPr>
          <w:rFonts w:cs="Calibri"/>
          <w:sz w:val="20"/>
          <w:szCs w:val="20"/>
        </w:rPr>
        <w:t>PN-EN ISO 2592 Oznaczanie temperatury zapłonu i palenia – Metoda otwartego tygla Clevelanda.</w:t>
      </w:r>
    </w:p>
    <w:p>
      <w:pPr>
        <w:pStyle w:val="ListParagraph"/>
        <w:spacing w:lineRule="auto" w:line="240" w:before="0" w:after="0"/>
        <w:contextualSpacing/>
        <w:jc w:val="both"/>
        <w:rPr>
          <w:rFonts w:cs="Calibri"/>
          <w:sz w:val="20"/>
          <w:szCs w:val="20"/>
        </w:rPr>
      </w:pPr>
      <w:r>
        <w:rPr>
          <w:rFonts w:cs="Calibri"/>
          <w:sz w:val="20"/>
          <w:szCs w:val="20"/>
        </w:rPr>
      </w:r>
    </w:p>
    <w:p>
      <w:pPr>
        <w:pStyle w:val="Normal"/>
        <w:spacing w:lineRule="auto" w:line="240" w:before="0" w:after="0"/>
        <w:jc w:val="both"/>
        <w:rPr>
          <w:rFonts w:cs="Calibri"/>
          <w:sz w:val="20"/>
          <w:szCs w:val="20"/>
        </w:rPr>
      </w:pPr>
      <w:r>
        <w:rPr>
          <w:rFonts w:cs="Calibri"/>
          <w:sz w:val="20"/>
          <w:szCs w:val="20"/>
        </w:rPr>
        <w:t>10.3. Wymagania techniczne</w:t>
      </w:r>
    </w:p>
    <w:p>
      <w:pPr>
        <w:pStyle w:val="ListParagraph"/>
        <w:numPr>
          <w:ilvl w:val="0"/>
          <w:numId w:val="6"/>
        </w:numPr>
        <w:spacing w:lineRule="auto" w:line="240" w:before="0" w:after="0"/>
        <w:contextualSpacing/>
        <w:jc w:val="both"/>
        <w:rPr>
          <w:rFonts w:cs="Calibri"/>
          <w:sz w:val="20"/>
          <w:szCs w:val="20"/>
        </w:rPr>
      </w:pPr>
      <w:r>
        <w:rPr>
          <w:rFonts w:cs="Calibri"/>
          <w:sz w:val="20"/>
          <w:szCs w:val="20"/>
        </w:rPr>
        <w:t xml:space="preserve">WT-1 Kruszywa 2010. Kruszywa do mieszanek mineralno-asfaltowych i powierzchniowych utrwaleń na drogach krajowych - Zarządzenie nr 102 Generalnego Dyrektora Dróg Krajowych i Autostrad z dnia </w:t>
        <w:br/>
        <w:t>19 listopada 2010 r.</w:t>
      </w:r>
    </w:p>
    <w:p>
      <w:pPr>
        <w:pStyle w:val="ListParagraph"/>
        <w:numPr>
          <w:ilvl w:val="0"/>
          <w:numId w:val="6"/>
        </w:numPr>
        <w:spacing w:lineRule="auto" w:line="240" w:before="0" w:after="0"/>
        <w:contextualSpacing/>
        <w:jc w:val="both"/>
        <w:rPr>
          <w:rFonts w:cs="Calibri"/>
          <w:sz w:val="20"/>
          <w:szCs w:val="20"/>
        </w:rPr>
      </w:pPr>
      <w:r>
        <w:rPr>
          <w:rFonts w:cs="Calibri"/>
          <w:sz w:val="20"/>
          <w:szCs w:val="20"/>
        </w:rPr>
        <w:t>WT-2 Nawierzchnie asfaltowe 2010. Nawierzchnie asfaltowe na drogach krajowych - Zarządzenie nr 102 Generalnego Dyrektora Dróg Krajowych i Autostrad z dnia 19 listopada 2011 r.</w:t>
      </w:r>
    </w:p>
    <w:p>
      <w:pPr>
        <w:pStyle w:val="ListParagraph"/>
        <w:numPr>
          <w:ilvl w:val="0"/>
          <w:numId w:val="6"/>
        </w:numPr>
        <w:spacing w:lineRule="auto" w:line="240" w:before="0" w:after="0"/>
        <w:contextualSpacing/>
        <w:jc w:val="both"/>
        <w:rPr>
          <w:rFonts w:cs="Calibri"/>
          <w:sz w:val="20"/>
          <w:szCs w:val="20"/>
        </w:rPr>
      </w:pPr>
      <w:r>
        <w:rPr>
          <w:rFonts w:cs="Calibri"/>
          <w:sz w:val="20"/>
          <w:szCs w:val="20"/>
        </w:rPr>
        <w:t>WT-3 Emulsje asfaltowe 2009. Kationowe emulsje asfaltowe na drogach publicznych.</w:t>
      </w:r>
    </w:p>
    <w:p>
      <w:pPr>
        <w:pStyle w:val="Normal"/>
        <w:spacing w:lineRule="auto" w:line="240" w:before="0" w:after="0"/>
        <w:ind w:left="360"/>
        <w:jc w:val="both"/>
        <w:rPr>
          <w:rFonts w:cs="Calibri"/>
          <w:sz w:val="20"/>
          <w:szCs w:val="20"/>
        </w:rPr>
      </w:pPr>
      <w:r>
        <w:rPr>
          <w:rFonts w:cs="Calibri"/>
          <w:sz w:val="20"/>
          <w:szCs w:val="20"/>
        </w:rPr>
      </w:r>
    </w:p>
    <w:p>
      <w:pPr>
        <w:pStyle w:val="Normal"/>
        <w:spacing w:lineRule="auto" w:line="240" w:before="0" w:after="0"/>
        <w:jc w:val="both"/>
        <w:rPr>
          <w:rFonts w:cs="Calibri"/>
          <w:sz w:val="20"/>
          <w:szCs w:val="20"/>
        </w:rPr>
      </w:pPr>
      <w:r>
        <w:rPr>
          <w:rFonts w:cs="Calibri"/>
          <w:sz w:val="20"/>
          <w:szCs w:val="20"/>
        </w:rPr>
        <w:t>10.4. Inne dokumenty</w:t>
      </w:r>
    </w:p>
    <w:p>
      <w:pPr>
        <w:pStyle w:val="ListParagraph"/>
        <w:numPr>
          <w:ilvl w:val="0"/>
          <w:numId w:val="6"/>
        </w:numPr>
        <w:spacing w:lineRule="auto" w:line="240" w:before="0" w:after="0"/>
        <w:contextualSpacing/>
        <w:jc w:val="both"/>
        <w:rPr>
          <w:rFonts w:cs="Calibri"/>
          <w:sz w:val="20"/>
          <w:szCs w:val="20"/>
        </w:rPr>
      </w:pPr>
      <w:r>
        <w:rPr>
          <w:rFonts w:cs="Calibri"/>
          <w:sz w:val="20"/>
          <w:szCs w:val="20"/>
        </w:rPr>
        <w:t>Rozporządzenie Ministra Transportu i Gospodarki Morskiej z dnia 2 marca 1999 r. w sprawie warunków technicznych, jakim powinny odpowiadać drogi publiczne i ich usytuowanie (Dz.U. nr 43, poz. 430).</w:t>
      </w:r>
    </w:p>
    <w:p>
      <w:pPr>
        <w:pStyle w:val="ListParagraph"/>
        <w:numPr>
          <w:ilvl w:val="0"/>
          <w:numId w:val="6"/>
        </w:numPr>
        <w:spacing w:lineRule="auto" w:line="240" w:before="0" w:after="0"/>
        <w:contextualSpacing/>
        <w:jc w:val="both"/>
        <w:rPr>
          <w:rFonts w:cs="Calibri"/>
          <w:sz w:val="20"/>
          <w:szCs w:val="20"/>
        </w:rPr>
      </w:pPr>
      <w:r>
        <w:rPr>
          <w:rFonts w:cs="Calibri"/>
          <w:sz w:val="20"/>
          <w:szCs w:val="20"/>
        </w:rPr>
        <w:t>Katalog typowych konstrukcji nawierzchni podatnych i półsztywnych. Generalna Dyrekcja Dróg Publicznych – Instytut Badawczy Dróg i Mostów, Warszawa 1997.</w:t>
      </w:r>
    </w:p>
    <w:sectPr>
      <w:headerReference w:type="even" r:id="rId6"/>
      <w:headerReference w:type="default" r:id="rId7"/>
      <w:headerReference w:type="first" r:id="rId8"/>
      <w:footerReference w:type="even" r:id="rId9"/>
      <w:footerReference w:type="default" r:id="rId10"/>
      <w:footerReference w:type="first" r:id="rId11"/>
      <w:type w:val="nextPage"/>
      <w:pgSz w:w="11906" w:h="16838"/>
      <w:pgMar w:left="1417" w:right="849" w:gutter="0" w:header="426" w:top="1417" w:footer="333" w:bottom="1134"/>
      <w:pgNumType w:fmt="decimal"/>
      <w:formProt w:val="false"/>
      <w:textDirection w:val="lrTb"/>
      <w:docGrid w:type="default" w:linePitch="360" w:charSpace="4096"/>
    </w:sectPr>
  </w:body>
</w:document>
</file>

<file path=word/fontTable.xml><?xml version="1.0" encoding="utf-8"?>
<w:fonts xmlns:w="http://schemas.openxmlformats.org/wordprocessingml/2006/main" xmlns:r="http://schemas.openxmlformats.org/officeDocument/2006/relationships">
  <w:font w:name="Times New Roman">
    <w:charset w:val="00"/>
    <w:family w:val="roman"/>
    <w:pitch w:val="variable"/>
  </w:font>
  <w:font w:name="Symbol">
    <w:charset w:val="02"/>
    <w:family w:val="roman"/>
    <w:pitch w:val="variable"/>
  </w:font>
  <w:font w:name="Arial">
    <w:charset w:val="00"/>
    <w:family w:val="swiss"/>
    <w:pitch w:val="variable"/>
  </w:font>
  <w:font w:name="Liberation Serif">
    <w:altName w:val="Times New Roman"/>
    <w:charset w:val="ee"/>
    <w:family w:val="roman"/>
    <w:pitch w:val="variable"/>
  </w:font>
  <w:font w:name="Calibri">
    <w:charset w:val="ee"/>
    <w:family w:val="roman"/>
    <w:pitch w:val="variable"/>
  </w:font>
  <w:font w:name="Tahoma">
    <w:charset w:val="ee"/>
    <w:family w:val="roman"/>
    <w:pitch w:val="variable"/>
  </w:font>
  <w:font w:name="Liberation Sans">
    <w:altName w:val="Arial"/>
    <w:charset w:val="ee"/>
    <w:family w:val="roman"/>
    <w:pitch w:val="variable"/>
  </w:font>
  <w:font w:name="CIDFont+F1">
    <w:charset w:val="ee"/>
    <w:family w:val="roman"/>
    <w:pitch w:val="variable"/>
  </w:font>
  <w:font w:name="Courier New">
    <w:charset w:val="01"/>
    <w:family w:val="modern"/>
    <w:pitch w:val="fixed"/>
  </w:font>
  <w:font w:name="Wingdings">
    <w:charset w:val="02"/>
    <w:family w:val="auto"/>
    <w:pitch w:val="variable"/>
  </w:font>
</w:fonts>
</file>

<file path=word/footer1.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Footer"/>
      <w:rPr/>
    </w:pPr>
    <w:r>
      <w:rPr/>
    </w:r>
  </w:p>
</w:ftr>
</file>

<file path=word/footer2.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Normal"/>
      <w:spacing w:lineRule="auto" w:line="240" w:before="0" w:after="0"/>
      <w:rPr>
        <w:rFonts w:cs="Calibri"/>
        <w:i/>
        <w:i/>
        <w:color w:val="000000"/>
        <w:sz w:val="14"/>
        <w:szCs w:val="20"/>
      </w:rPr>
    </w:pPr>
    <w:r>
      <w:rPr>
        <w:rFonts w:cs="Calibri"/>
        <w:i/>
        <w:color w:val="000000"/>
        <w:sz w:val="14"/>
        <w:szCs w:val="20"/>
      </w:rPr>
      <w:t>Wykonał: R. Madej</w:t>
    </w:r>
  </w:p>
  <w:p>
    <w:pPr>
      <w:pStyle w:val="Footer"/>
      <w:tabs>
        <w:tab w:val="left" w:pos="336" w:leader="none"/>
        <w:tab w:val="center" w:pos="4536" w:leader="none"/>
        <w:tab w:val="right" w:pos="9072" w:leader="none"/>
        <w:tab w:val="right" w:pos="9356" w:leader="none"/>
      </w:tabs>
      <w:rPr/>
    </w:pPr>
    <w:r>
      <w:rPr/>
      <w:tab/>
      <w:tab/>
      <w:tab/>
      <w:tab/>
    </w:r>
    <w:r>
      <w:rPr/>
      <w:fldChar w:fldCharType="begin"/>
    </w:r>
    <w:r>
      <w:rPr/>
      <w:instrText xml:space="preserve"> PAGE </w:instrText>
    </w:r>
    <w:r>
      <w:rPr/>
      <w:fldChar w:fldCharType="separate"/>
    </w:r>
    <w:r>
      <w:rPr/>
      <w:t>13</w:t>
    </w:r>
    <w:r>
      <w:rPr/>
      <w:fldChar w:fldCharType="end"/>
    </w:r>
  </w:p>
  <w:p>
    <w:pPr>
      <w:pStyle w:val="Footer"/>
      <w:rPr/>
    </w:pPr>
    <w:r>
      <w:rPr/>
    </w:r>
  </w:p>
</w:ftr>
</file>

<file path=word/footer3.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Normal"/>
      <w:spacing w:lineRule="auto" w:line="240" w:before="0" w:after="0"/>
      <w:rPr>
        <w:rFonts w:cs="Calibri"/>
        <w:i/>
        <w:i/>
        <w:color w:val="000000"/>
        <w:sz w:val="14"/>
        <w:szCs w:val="20"/>
      </w:rPr>
    </w:pPr>
    <w:r>
      <w:rPr>
        <w:rFonts w:cs="Calibri"/>
        <w:i/>
        <w:color w:val="000000"/>
        <w:sz w:val="14"/>
        <w:szCs w:val="20"/>
      </w:rPr>
      <w:t>Wykonał: R. Madej</w:t>
    </w:r>
  </w:p>
  <w:p>
    <w:pPr>
      <w:pStyle w:val="Footer"/>
      <w:tabs>
        <w:tab w:val="left" w:pos="336" w:leader="none"/>
        <w:tab w:val="center" w:pos="4536" w:leader="none"/>
        <w:tab w:val="right" w:pos="9072" w:leader="none"/>
        <w:tab w:val="right" w:pos="9356" w:leader="none"/>
      </w:tabs>
      <w:rPr/>
    </w:pPr>
    <w:r>
      <w:rPr/>
      <w:tab/>
      <w:tab/>
      <w:tab/>
      <w:tab/>
    </w:r>
    <w:r>
      <w:rPr/>
      <w:fldChar w:fldCharType="begin"/>
    </w:r>
    <w:r>
      <w:rPr/>
      <w:instrText xml:space="preserve"> PAGE </w:instrText>
    </w:r>
    <w:r>
      <w:rPr/>
      <w:fldChar w:fldCharType="separate"/>
    </w:r>
    <w:r>
      <w:rPr/>
      <w:t>13</w:t>
    </w:r>
    <w:r>
      <w:rPr/>
      <w:fldChar w:fldCharType="end"/>
    </w:r>
  </w:p>
  <w:p>
    <w:pPr>
      <w:pStyle w:val="Footer"/>
      <w:rPr/>
    </w:pPr>
    <w:r>
      <w:rPr/>
    </w:r>
  </w:p>
</w:ftr>
</file>

<file path=word/header1.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Header"/>
      <w:rPr/>
    </w:pPr>
    <w:r>
      <w:rPr/>
    </w:r>
  </w:p>
</w:hdr>
</file>

<file path=word/header2.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Normal"/>
      <w:spacing w:lineRule="auto" w:line="240" w:before="0" w:after="0"/>
      <w:jc w:val="right"/>
      <w:rPr>
        <w:rFonts w:ascii="CIDFont+F1" w:hAnsi="CIDFont+F1" w:cs="CIDFont+F1"/>
        <w:color w:val="000000"/>
        <w:sz w:val="16"/>
        <w:szCs w:val="20"/>
      </w:rPr>
    </w:pPr>
    <w:r>
      <w:rPr>
        <w:rFonts w:cs="CIDFont+F1" w:ascii="CIDFont+F1" w:hAnsi="CIDFont+F1"/>
        <w:color w:val="000000"/>
        <w:sz w:val="16"/>
        <w:szCs w:val="20"/>
      </w:rPr>
      <w:t>STWiOR nr 5</w:t>
    </w:r>
  </w:p>
  <w:p>
    <w:pPr>
      <w:pStyle w:val="Normal"/>
      <w:jc w:val="right"/>
      <w:rPr>
        <w:rFonts w:cs="Calibri"/>
        <w:b/>
        <w:color w:val="808080"/>
        <w:sz w:val="16"/>
        <w:szCs w:val="16"/>
      </w:rPr>
    </w:pPr>
    <w:r>
      <w:rPr/>
      <mc:AlternateContent>
        <mc:Choice Requires="wps">
          <w:drawing>
            <wp:anchor behindDoc="1" distT="635" distB="635" distL="635" distR="635" simplePos="0" locked="0" layoutInCell="1" allowOverlap="1" relativeHeight="18">
              <wp:simplePos x="0" y="0"/>
              <wp:positionH relativeFrom="column">
                <wp:posOffset>3810</wp:posOffset>
              </wp:positionH>
              <wp:positionV relativeFrom="paragraph">
                <wp:posOffset>168910</wp:posOffset>
              </wp:positionV>
              <wp:extent cx="6054090" cy="635"/>
              <wp:effectExtent l="635" t="635" r="635" b="635"/>
              <wp:wrapNone/>
              <wp:docPr id="5" name="Kształt1"/>
              <a:graphic xmlns:a="http://schemas.openxmlformats.org/drawingml/2006/main">
                <a:graphicData uri="http://schemas.microsoft.com/office/word/2010/wordprocessingShape">
                  <wps:wsp>
                    <wps:cNvSpPr/>
                    <wps:spPr>
                      <a:xfrm>
                        <a:off x="0" y="0"/>
                        <a:ext cx="6054120" cy="720"/>
                      </a:xfrm>
                      <a:prstGeom prst="line">
                        <a:avLst/>
                      </a:prstGeom>
                      <a:ln w="0">
                        <a:solidFill>
                          <a:srgbClr val="808080"/>
                        </a:solidFill>
                      </a:ln>
                    </wps:spPr>
                    <wps:style>
                      <a:lnRef idx="0"/>
                      <a:fillRef idx="0"/>
                      <a:effectRef idx="0"/>
                      <a:fontRef idx="minor"/>
                    </wps:style>
                    <wps:bodyPr/>
                  </wps:wsp>
                </a:graphicData>
              </a:graphic>
            </wp:anchor>
          </w:drawing>
        </mc:Choice>
        <mc:Fallback>
          <w:pict>
            <v:line id="shape_0" from="0.3pt,13.3pt" to="476.95pt,13.3pt" ID="Kształt1" stroked="t" o:allowincell="f" style="position:absolute">
              <v:stroke color="gray" joinstyle="round" endcap="flat"/>
              <v:fill o:detectmouseclick="t" on="false"/>
              <w10:wrap type="none"/>
            </v:line>
          </w:pict>
        </mc:Fallback>
      </mc:AlternateContent>
    </w:r>
  </w:p>
  <w:p>
    <w:pPr>
      <w:pStyle w:val="Normal"/>
      <w:spacing w:lineRule="auto" w:line="240" w:before="0" w:after="0"/>
      <w:jc w:val="right"/>
      <w:rPr/>
    </w:pPr>
    <w:r>
      <w:rPr/>
    </w:r>
  </w:p>
</w:hdr>
</file>

<file path=word/header3.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Normal"/>
      <w:spacing w:lineRule="auto" w:line="240" w:before="0" w:after="0"/>
      <w:jc w:val="right"/>
      <w:rPr>
        <w:rFonts w:ascii="CIDFont+F1" w:hAnsi="CIDFont+F1" w:cs="CIDFont+F1"/>
        <w:color w:val="000000"/>
        <w:sz w:val="16"/>
        <w:szCs w:val="20"/>
      </w:rPr>
    </w:pPr>
    <w:r>
      <w:rPr>
        <w:rFonts w:cs="CIDFont+F1" w:ascii="CIDFont+F1" w:hAnsi="CIDFont+F1"/>
        <w:color w:val="000000"/>
        <w:sz w:val="16"/>
        <w:szCs w:val="20"/>
      </w:rPr>
      <w:t>STWiOR nr 5</w:t>
    </w:r>
  </w:p>
  <w:p>
    <w:pPr>
      <w:pStyle w:val="Normal"/>
      <w:jc w:val="right"/>
      <w:rPr>
        <w:rFonts w:cs="Calibri"/>
        <w:b/>
        <w:color w:val="808080"/>
        <w:sz w:val="16"/>
        <w:szCs w:val="16"/>
      </w:rPr>
    </w:pPr>
    <w:r>
      <w:rPr/>
      <mc:AlternateContent>
        <mc:Choice Requires="wps">
          <w:drawing>
            <wp:anchor behindDoc="1" distT="635" distB="635" distL="635" distR="635" simplePos="0" locked="0" layoutInCell="1" allowOverlap="1" relativeHeight="18">
              <wp:simplePos x="0" y="0"/>
              <wp:positionH relativeFrom="column">
                <wp:posOffset>3810</wp:posOffset>
              </wp:positionH>
              <wp:positionV relativeFrom="paragraph">
                <wp:posOffset>168910</wp:posOffset>
              </wp:positionV>
              <wp:extent cx="6054090" cy="635"/>
              <wp:effectExtent l="635" t="635" r="635" b="635"/>
              <wp:wrapNone/>
              <wp:docPr id="6" name="Kształt1"/>
              <a:graphic xmlns:a="http://schemas.openxmlformats.org/drawingml/2006/main">
                <a:graphicData uri="http://schemas.microsoft.com/office/word/2010/wordprocessingShape">
                  <wps:wsp>
                    <wps:cNvSpPr/>
                    <wps:spPr>
                      <a:xfrm>
                        <a:off x="0" y="0"/>
                        <a:ext cx="6054120" cy="720"/>
                      </a:xfrm>
                      <a:prstGeom prst="line">
                        <a:avLst/>
                      </a:prstGeom>
                      <a:ln w="0">
                        <a:solidFill>
                          <a:srgbClr val="808080"/>
                        </a:solidFill>
                      </a:ln>
                    </wps:spPr>
                    <wps:style>
                      <a:lnRef idx="0"/>
                      <a:fillRef idx="0"/>
                      <a:effectRef idx="0"/>
                      <a:fontRef idx="minor"/>
                    </wps:style>
                    <wps:bodyPr/>
                  </wps:wsp>
                </a:graphicData>
              </a:graphic>
            </wp:anchor>
          </w:drawing>
        </mc:Choice>
        <mc:Fallback>
          <w:pict>
            <v:line id="shape_0" from="0.3pt,13.3pt" to="476.95pt,13.3pt" ID="Kształt1" stroked="t" o:allowincell="f" style="position:absolute">
              <v:stroke color="gray" joinstyle="round" endcap="flat"/>
              <v:fill o:detectmouseclick="t" on="false"/>
              <w10:wrap type="none"/>
            </v:line>
          </w:pict>
        </mc:Fallback>
      </mc:AlternateContent>
    </w:r>
  </w:p>
  <w:p>
    <w:pPr>
      <w:pStyle w:val="Normal"/>
      <w:spacing w:lineRule="auto" w:line="240" w:before="0" w:after="0"/>
      <w:jc w:val="right"/>
      <w:rPr/>
    </w:pPr>
    <w:r>
      <w:rPr/>
    </w:r>
  </w:p>
</w:hdr>
</file>

<file path=word/numbering.xml><?xml version="1.0" encoding="utf-8"?>
<w:numbering xmlns:w="http://schemas.openxmlformats.org/wordprocessingml/2006/main" xmlns:o="urn:schemas-microsoft-com:office:office" xmlns:r="http://schemas.openxmlformats.org/officeDocument/2006/relationships" xmlns:v="urn:schemas-microsoft-com:vml" xmlns:mc="http://schemas.openxmlformats.org/markup-compatibility/2006" xmlns:w14="http://schemas.microsoft.com/office/word/2010/wordml" mc:Ignorable="w14">
  <w:abstractNum w:abstractNumId="1">
    <w:lvl w:ilvl="0">
      <w:start w:val="1"/>
      <w:numFmt w:val="bullet"/>
      <w:lvlText w:val=""/>
      <w:lvlJc w:val="left"/>
      <w:pPr>
        <w:tabs>
          <w:tab w:val="num" w:pos="0"/>
        </w:tabs>
        <w:ind w:left="1084" w:hanging="360"/>
      </w:pPr>
      <w:rPr>
        <w:rFonts w:ascii="Symbol" w:hAnsi="Symbol" w:cs="Symbol" w:hint="default"/>
      </w:rPr>
    </w:lvl>
    <w:lvl w:ilvl="1">
      <w:start w:val="1"/>
      <w:numFmt w:val="bullet"/>
      <w:lvlText w:val="o"/>
      <w:lvlJc w:val="left"/>
      <w:pPr>
        <w:tabs>
          <w:tab w:val="num" w:pos="0"/>
        </w:tabs>
        <w:ind w:left="1804" w:hanging="360"/>
      </w:pPr>
      <w:rPr>
        <w:rFonts w:ascii="Courier New" w:hAnsi="Courier New" w:cs="Courier New" w:hint="default"/>
      </w:rPr>
    </w:lvl>
    <w:lvl w:ilvl="2">
      <w:start w:val="1"/>
      <w:numFmt w:val="bullet"/>
      <w:lvlText w:val=""/>
      <w:lvlJc w:val="left"/>
      <w:pPr>
        <w:tabs>
          <w:tab w:val="num" w:pos="0"/>
        </w:tabs>
        <w:ind w:left="2524" w:hanging="360"/>
      </w:pPr>
      <w:rPr>
        <w:rFonts w:ascii="Wingdings" w:hAnsi="Wingdings" w:cs="Wingdings" w:hint="default"/>
      </w:rPr>
    </w:lvl>
    <w:lvl w:ilvl="3">
      <w:start w:val="1"/>
      <w:numFmt w:val="bullet"/>
      <w:lvlText w:val=""/>
      <w:lvlJc w:val="left"/>
      <w:pPr>
        <w:tabs>
          <w:tab w:val="num" w:pos="0"/>
        </w:tabs>
        <w:ind w:left="3244" w:hanging="360"/>
      </w:pPr>
      <w:rPr>
        <w:rFonts w:ascii="Symbol" w:hAnsi="Symbol" w:cs="Symbol" w:hint="default"/>
      </w:rPr>
    </w:lvl>
    <w:lvl w:ilvl="4">
      <w:start w:val="1"/>
      <w:numFmt w:val="bullet"/>
      <w:lvlText w:val="o"/>
      <w:lvlJc w:val="left"/>
      <w:pPr>
        <w:tabs>
          <w:tab w:val="num" w:pos="0"/>
        </w:tabs>
        <w:ind w:left="3964" w:hanging="360"/>
      </w:pPr>
      <w:rPr>
        <w:rFonts w:ascii="Courier New" w:hAnsi="Courier New" w:cs="Courier New" w:hint="default"/>
      </w:rPr>
    </w:lvl>
    <w:lvl w:ilvl="5">
      <w:start w:val="1"/>
      <w:numFmt w:val="bullet"/>
      <w:lvlText w:val=""/>
      <w:lvlJc w:val="left"/>
      <w:pPr>
        <w:tabs>
          <w:tab w:val="num" w:pos="0"/>
        </w:tabs>
        <w:ind w:left="4684" w:hanging="360"/>
      </w:pPr>
      <w:rPr>
        <w:rFonts w:ascii="Wingdings" w:hAnsi="Wingdings" w:cs="Wingdings" w:hint="default"/>
      </w:rPr>
    </w:lvl>
    <w:lvl w:ilvl="6">
      <w:start w:val="1"/>
      <w:numFmt w:val="bullet"/>
      <w:lvlText w:val=""/>
      <w:lvlJc w:val="left"/>
      <w:pPr>
        <w:tabs>
          <w:tab w:val="num" w:pos="0"/>
        </w:tabs>
        <w:ind w:left="5404" w:hanging="360"/>
      </w:pPr>
      <w:rPr>
        <w:rFonts w:ascii="Symbol" w:hAnsi="Symbol" w:cs="Symbol" w:hint="default"/>
      </w:rPr>
    </w:lvl>
    <w:lvl w:ilvl="7">
      <w:start w:val="1"/>
      <w:numFmt w:val="bullet"/>
      <w:lvlText w:val="o"/>
      <w:lvlJc w:val="left"/>
      <w:pPr>
        <w:tabs>
          <w:tab w:val="num" w:pos="0"/>
        </w:tabs>
        <w:ind w:left="6124" w:hanging="360"/>
      </w:pPr>
      <w:rPr>
        <w:rFonts w:ascii="Courier New" w:hAnsi="Courier New" w:cs="Courier New" w:hint="default"/>
      </w:rPr>
    </w:lvl>
    <w:lvl w:ilvl="8">
      <w:start w:val="1"/>
      <w:numFmt w:val="bullet"/>
      <w:lvlText w:val=""/>
      <w:lvlJc w:val="left"/>
      <w:pPr>
        <w:tabs>
          <w:tab w:val="num" w:pos="0"/>
        </w:tabs>
        <w:ind w:left="6844" w:hanging="360"/>
      </w:pPr>
      <w:rPr>
        <w:rFonts w:ascii="Wingdings" w:hAnsi="Wingdings" w:cs="Wingdings" w:hint="default"/>
      </w:rPr>
    </w:lvl>
  </w:abstractNum>
  <w:abstractNum w:abstractNumId="2">
    <w:lvl w:ilvl="0">
      <w:start w:val="1"/>
      <w:numFmt w:val="bullet"/>
      <w:lvlText w:val=""/>
      <w:lvlJc w:val="left"/>
      <w:pPr>
        <w:tabs>
          <w:tab w:val="num" w:pos="0"/>
        </w:tabs>
        <w:ind w:left="1084" w:hanging="360"/>
      </w:pPr>
      <w:rPr>
        <w:rFonts w:ascii="Symbol" w:hAnsi="Symbol" w:cs="Symbol" w:hint="default"/>
      </w:rPr>
    </w:lvl>
    <w:lvl w:ilvl="1">
      <w:start w:val="1"/>
      <w:numFmt w:val="bullet"/>
      <w:lvlText w:val="o"/>
      <w:lvlJc w:val="left"/>
      <w:pPr>
        <w:tabs>
          <w:tab w:val="num" w:pos="0"/>
        </w:tabs>
        <w:ind w:left="1804" w:hanging="360"/>
      </w:pPr>
      <w:rPr>
        <w:rFonts w:ascii="Courier New" w:hAnsi="Courier New" w:cs="Courier New" w:hint="default"/>
      </w:rPr>
    </w:lvl>
    <w:lvl w:ilvl="2">
      <w:start w:val="1"/>
      <w:numFmt w:val="bullet"/>
      <w:lvlText w:val=""/>
      <w:lvlJc w:val="left"/>
      <w:pPr>
        <w:tabs>
          <w:tab w:val="num" w:pos="0"/>
        </w:tabs>
        <w:ind w:left="2524" w:hanging="360"/>
      </w:pPr>
      <w:rPr>
        <w:rFonts w:ascii="Wingdings" w:hAnsi="Wingdings" w:cs="Wingdings" w:hint="default"/>
      </w:rPr>
    </w:lvl>
    <w:lvl w:ilvl="3">
      <w:start w:val="1"/>
      <w:numFmt w:val="bullet"/>
      <w:lvlText w:val=""/>
      <w:lvlJc w:val="left"/>
      <w:pPr>
        <w:tabs>
          <w:tab w:val="num" w:pos="0"/>
        </w:tabs>
        <w:ind w:left="3244" w:hanging="360"/>
      </w:pPr>
      <w:rPr>
        <w:rFonts w:ascii="Symbol" w:hAnsi="Symbol" w:cs="Symbol" w:hint="default"/>
      </w:rPr>
    </w:lvl>
    <w:lvl w:ilvl="4">
      <w:start w:val="1"/>
      <w:numFmt w:val="bullet"/>
      <w:lvlText w:val="o"/>
      <w:lvlJc w:val="left"/>
      <w:pPr>
        <w:tabs>
          <w:tab w:val="num" w:pos="0"/>
        </w:tabs>
        <w:ind w:left="3964" w:hanging="360"/>
      </w:pPr>
      <w:rPr>
        <w:rFonts w:ascii="Courier New" w:hAnsi="Courier New" w:cs="Courier New" w:hint="default"/>
      </w:rPr>
    </w:lvl>
    <w:lvl w:ilvl="5">
      <w:start w:val="1"/>
      <w:numFmt w:val="bullet"/>
      <w:lvlText w:val=""/>
      <w:lvlJc w:val="left"/>
      <w:pPr>
        <w:tabs>
          <w:tab w:val="num" w:pos="0"/>
        </w:tabs>
        <w:ind w:left="4684" w:hanging="360"/>
      </w:pPr>
      <w:rPr>
        <w:rFonts w:ascii="Wingdings" w:hAnsi="Wingdings" w:cs="Wingdings" w:hint="default"/>
      </w:rPr>
    </w:lvl>
    <w:lvl w:ilvl="6">
      <w:start w:val="1"/>
      <w:numFmt w:val="bullet"/>
      <w:lvlText w:val=""/>
      <w:lvlJc w:val="left"/>
      <w:pPr>
        <w:tabs>
          <w:tab w:val="num" w:pos="0"/>
        </w:tabs>
        <w:ind w:left="5404" w:hanging="360"/>
      </w:pPr>
      <w:rPr>
        <w:rFonts w:ascii="Symbol" w:hAnsi="Symbol" w:cs="Symbol" w:hint="default"/>
      </w:rPr>
    </w:lvl>
    <w:lvl w:ilvl="7">
      <w:start w:val="1"/>
      <w:numFmt w:val="bullet"/>
      <w:lvlText w:val="o"/>
      <w:lvlJc w:val="left"/>
      <w:pPr>
        <w:tabs>
          <w:tab w:val="num" w:pos="0"/>
        </w:tabs>
        <w:ind w:left="6124" w:hanging="360"/>
      </w:pPr>
      <w:rPr>
        <w:rFonts w:ascii="Courier New" w:hAnsi="Courier New" w:cs="Courier New" w:hint="default"/>
      </w:rPr>
    </w:lvl>
    <w:lvl w:ilvl="8">
      <w:start w:val="1"/>
      <w:numFmt w:val="bullet"/>
      <w:lvlText w:val=""/>
      <w:lvlJc w:val="left"/>
      <w:pPr>
        <w:tabs>
          <w:tab w:val="num" w:pos="0"/>
        </w:tabs>
        <w:ind w:left="6844" w:hanging="360"/>
      </w:pPr>
      <w:rPr>
        <w:rFonts w:ascii="Wingdings" w:hAnsi="Wingdings" w:cs="Wingdings" w:hint="default"/>
      </w:rPr>
    </w:lvl>
  </w:abstractNum>
  <w:abstractNum w:abstractNumId="3">
    <w:lvl w:ilvl="0">
      <w:start w:val="1"/>
      <w:numFmt w:val="bullet"/>
      <w:lvlText w:val=""/>
      <w:lvlJc w:val="left"/>
      <w:pPr>
        <w:tabs>
          <w:tab w:val="num" w:pos="0"/>
        </w:tabs>
        <w:ind w:left="1084" w:hanging="360"/>
      </w:pPr>
      <w:rPr>
        <w:rFonts w:ascii="Symbol" w:hAnsi="Symbol" w:cs="Symbol" w:hint="default"/>
      </w:rPr>
    </w:lvl>
    <w:lvl w:ilvl="1">
      <w:start w:val="1"/>
      <w:numFmt w:val="bullet"/>
      <w:lvlText w:val="o"/>
      <w:lvlJc w:val="left"/>
      <w:pPr>
        <w:tabs>
          <w:tab w:val="num" w:pos="0"/>
        </w:tabs>
        <w:ind w:left="1804" w:hanging="360"/>
      </w:pPr>
      <w:rPr>
        <w:rFonts w:ascii="Courier New" w:hAnsi="Courier New" w:cs="Courier New" w:hint="default"/>
      </w:rPr>
    </w:lvl>
    <w:lvl w:ilvl="2">
      <w:start w:val="1"/>
      <w:numFmt w:val="bullet"/>
      <w:lvlText w:val=""/>
      <w:lvlJc w:val="left"/>
      <w:pPr>
        <w:tabs>
          <w:tab w:val="num" w:pos="0"/>
        </w:tabs>
        <w:ind w:left="2524" w:hanging="360"/>
      </w:pPr>
      <w:rPr>
        <w:rFonts w:ascii="Wingdings" w:hAnsi="Wingdings" w:cs="Wingdings" w:hint="default"/>
      </w:rPr>
    </w:lvl>
    <w:lvl w:ilvl="3">
      <w:start w:val="1"/>
      <w:numFmt w:val="bullet"/>
      <w:lvlText w:val=""/>
      <w:lvlJc w:val="left"/>
      <w:pPr>
        <w:tabs>
          <w:tab w:val="num" w:pos="0"/>
        </w:tabs>
        <w:ind w:left="3244" w:hanging="360"/>
      </w:pPr>
      <w:rPr>
        <w:rFonts w:ascii="Symbol" w:hAnsi="Symbol" w:cs="Symbol" w:hint="default"/>
      </w:rPr>
    </w:lvl>
    <w:lvl w:ilvl="4">
      <w:start w:val="1"/>
      <w:numFmt w:val="bullet"/>
      <w:lvlText w:val="o"/>
      <w:lvlJc w:val="left"/>
      <w:pPr>
        <w:tabs>
          <w:tab w:val="num" w:pos="0"/>
        </w:tabs>
        <w:ind w:left="3964" w:hanging="360"/>
      </w:pPr>
      <w:rPr>
        <w:rFonts w:ascii="Courier New" w:hAnsi="Courier New" w:cs="Courier New" w:hint="default"/>
      </w:rPr>
    </w:lvl>
    <w:lvl w:ilvl="5">
      <w:start w:val="1"/>
      <w:numFmt w:val="bullet"/>
      <w:lvlText w:val=""/>
      <w:lvlJc w:val="left"/>
      <w:pPr>
        <w:tabs>
          <w:tab w:val="num" w:pos="0"/>
        </w:tabs>
        <w:ind w:left="4684" w:hanging="360"/>
      </w:pPr>
      <w:rPr>
        <w:rFonts w:ascii="Wingdings" w:hAnsi="Wingdings" w:cs="Wingdings" w:hint="default"/>
      </w:rPr>
    </w:lvl>
    <w:lvl w:ilvl="6">
      <w:start w:val="1"/>
      <w:numFmt w:val="bullet"/>
      <w:lvlText w:val=""/>
      <w:lvlJc w:val="left"/>
      <w:pPr>
        <w:tabs>
          <w:tab w:val="num" w:pos="0"/>
        </w:tabs>
        <w:ind w:left="5404" w:hanging="360"/>
      </w:pPr>
      <w:rPr>
        <w:rFonts w:ascii="Symbol" w:hAnsi="Symbol" w:cs="Symbol" w:hint="default"/>
      </w:rPr>
    </w:lvl>
    <w:lvl w:ilvl="7">
      <w:start w:val="1"/>
      <w:numFmt w:val="bullet"/>
      <w:lvlText w:val="o"/>
      <w:lvlJc w:val="left"/>
      <w:pPr>
        <w:tabs>
          <w:tab w:val="num" w:pos="0"/>
        </w:tabs>
        <w:ind w:left="6124" w:hanging="360"/>
      </w:pPr>
      <w:rPr>
        <w:rFonts w:ascii="Courier New" w:hAnsi="Courier New" w:cs="Courier New" w:hint="default"/>
      </w:rPr>
    </w:lvl>
    <w:lvl w:ilvl="8">
      <w:start w:val="1"/>
      <w:numFmt w:val="bullet"/>
      <w:lvlText w:val=""/>
      <w:lvlJc w:val="left"/>
      <w:pPr>
        <w:tabs>
          <w:tab w:val="num" w:pos="0"/>
        </w:tabs>
        <w:ind w:left="6844" w:hanging="360"/>
      </w:pPr>
      <w:rPr>
        <w:rFonts w:ascii="Wingdings" w:hAnsi="Wingdings" w:cs="Wingdings" w:hint="default"/>
      </w:rPr>
    </w:lvl>
  </w:abstractNum>
  <w:abstractNum w:abstractNumId="4">
    <w:lvl w:ilvl="0">
      <w:start w:val="1"/>
      <w:numFmt w:val="bullet"/>
      <w:lvlText w:val=""/>
      <w:lvlJc w:val="left"/>
      <w:pPr>
        <w:tabs>
          <w:tab w:val="num" w:pos="0"/>
        </w:tabs>
        <w:ind w:left="1084" w:hanging="360"/>
      </w:pPr>
      <w:rPr>
        <w:rFonts w:ascii="Symbol" w:hAnsi="Symbol" w:cs="Symbol" w:hint="default"/>
      </w:rPr>
    </w:lvl>
    <w:lvl w:ilvl="1">
      <w:start w:val="1"/>
      <w:numFmt w:val="bullet"/>
      <w:lvlText w:val="o"/>
      <w:lvlJc w:val="left"/>
      <w:pPr>
        <w:tabs>
          <w:tab w:val="num" w:pos="0"/>
        </w:tabs>
        <w:ind w:left="1804" w:hanging="360"/>
      </w:pPr>
      <w:rPr>
        <w:rFonts w:ascii="Courier New" w:hAnsi="Courier New" w:cs="Courier New" w:hint="default"/>
      </w:rPr>
    </w:lvl>
    <w:lvl w:ilvl="2">
      <w:start w:val="1"/>
      <w:numFmt w:val="bullet"/>
      <w:lvlText w:val=""/>
      <w:lvlJc w:val="left"/>
      <w:pPr>
        <w:tabs>
          <w:tab w:val="num" w:pos="0"/>
        </w:tabs>
        <w:ind w:left="2524" w:hanging="360"/>
      </w:pPr>
      <w:rPr>
        <w:rFonts w:ascii="Wingdings" w:hAnsi="Wingdings" w:cs="Wingdings" w:hint="default"/>
      </w:rPr>
    </w:lvl>
    <w:lvl w:ilvl="3">
      <w:start w:val="1"/>
      <w:numFmt w:val="bullet"/>
      <w:lvlText w:val=""/>
      <w:lvlJc w:val="left"/>
      <w:pPr>
        <w:tabs>
          <w:tab w:val="num" w:pos="0"/>
        </w:tabs>
        <w:ind w:left="3244" w:hanging="360"/>
      </w:pPr>
      <w:rPr>
        <w:rFonts w:ascii="Symbol" w:hAnsi="Symbol" w:cs="Symbol" w:hint="default"/>
      </w:rPr>
    </w:lvl>
    <w:lvl w:ilvl="4">
      <w:start w:val="1"/>
      <w:numFmt w:val="bullet"/>
      <w:lvlText w:val="o"/>
      <w:lvlJc w:val="left"/>
      <w:pPr>
        <w:tabs>
          <w:tab w:val="num" w:pos="0"/>
        </w:tabs>
        <w:ind w:left="3964" w:hanging="360"/>
      </w:pPr>
      <w:rPr>
        <w:rFonts w:ascii="Courier New" w:hAnsi="Courier New" w:cs="Courier New" w:hint="default"/>
      </w:rPr>
    </w:lvl>
    <w:lvl w:ilvl="5">
      <w:start w:val="1"/>
      <w:numFmt w:val="bullet"/>
      <w:lvlText w:val=""/>
      <w:lvlJc w:val="left"/>
      <w:pPr>
        <w:tabs>
          <w:tab w:val="num" w:pos="0"/>
        </w:tabs>
        <w:ind w:left="4684" w:hanging="360"/>
      </w:pPr>
      <w:rPr>
        <w:rFonts w:ascii="Wingdings" w:hAnsi="Wingdings" w:cs="Wingdings" w:hint="default"/>
      </w:rPr>
    </w:lvl>
    <w:lvl w:ilvl="6">
      <w:start w:val="1"/>
      <w:numFmt w:val="bullet"/>
      <w:lvlText w:val=""/>
      <w:lvlJc w:val="left"/>
      <w:pPr>
        <w:tabs>
          <w:tab w:val="num" w:pos="0"/>
        </w:tabs>
        <w:ind w:left="5404" w:hanging="360"/>
      </w:pPr>
      <w:rPr>
        <w:rFonts w:ascii="Symbol" w:hAnsi="Symbol" w:cs="Symbol" w:hint="default"/>
      </w:rPr>
    </w:lvl>
    <w:lvl w:ilvl="7">
      <w:start w:val="1"/>
      <w:numFmt w:val="bullet"/>
      <w:lvlText w:val="o"/>
      <w:lvlJc w:val="left"/>
      <w:pPr>
        <w:tabs>
          <w:tab w:val="num" w:pos="0"/>
        </w:tabs>
        <w:ind w:left="6124" w:hanging="360"/>
      </w:pPr>
      <w:rPr>
        <w:rFonts w:ascii="Courier New" w:hAnsi="Courier New" w:cs="Courier New" w:hint="default"/>
      </w:rPr>
    </w:lvl>
    <w:lvl w:ilvl="8">
      <w:start w:val="1"/>
      <w:numFmt w:val="bullet"/>
      <w:lvlText w:val=""/>
      <w:lvlJc w:val="left"/>
      <w:pPr>
        <w:tabs>
          <w:tab w:val="num" w:pos="0"/>
        </w:tabs>
        <w:ind w:left="6844" w:hanging="360"/>
      </w:pPr>
      <w:rPr>
        <w:rFonts w:ascii="Wingdings" w:hAnsi="Wingdings" w:cs="Wingdings" w:hint="default"/>
      </w:rPr>
    </w:lvl>
  </w:abstractNum>
  <w:abstractNum w:abstractNumId="5">
    <w:lvl w:ilvl="0">
      <w:start w:val="1"/>
      <w:numFmt w:val="bullet"/>
      <w:lvlText w:val=""/>
      <w:lvlJc w:val="left"/>
      <w:pPr>
        <w:tabs>
          <w:tab w:val="num" w:pos="0"/>
        </w:tabs>
        <w:ind w:left="1084" w:hanging="360"/>
      </w:pPr>
      <w:rPr>
        <w:rFonts w:ascii="Symbol" w:hAnsi="Symbol" w:cs="Symbol" w:hint="default"/>
      </w:rPr>
    </w:lvl>
    <w:lvl w:ilvl="1">
      <w:start w:val="1"/>
      <w:numFmt w:val="bullet"/>
      <w:lvlText w:val="o"/>
      <w:lvlJc w:val="left"/>
      <w:pPr>
        <w:tabs>
          <w:tab w:val="num" w:pos="0"/>
        </w:tabs>
        <w:ind w:left="1804" w:hanging="360"/>
      </w:pPr>
      <w:rPr>
        <w:rFonts w:ascii="Courier New" w:hAnsi="Courier New" w:cs="Courier New" w:hint="default"/>
      </w:rPr>
    </w:lvl>
    <w:lvl w:ilvl="2">
      <w:start w:val="1"/>
      <w:numFmt w:val="bullet"/>
      <w:lvlText w:val=""/>
      <w:lvlJc w:val="left"/>
      <w:pPr>
        <w:tabs>
          <w:tab w:val="num" w:pos="0"/>
        </w:tabs>
        <w:ind w:left="2524" w:hanging="360"/>
      </w:pPr>
      <w:rPr>
        <w:rFonts w:ascii="Wingdings" w:hAnsi="Wingdings" w:cs="Wingdings" w:hint="default"/>
      </w:rPr>
    </w:lvl>
    <w:lvl w:ilvl="3">
      <w:start w:val="1"/>
      <w:numFmt w:val="bullet"/>
      <w:lvlText w:val=""/>
      <w:lvlJc w:val="left"/>
      <w:pPr>
        <w:tabs>
          <w:tab w:val="num" w:pos="0"/>
        </w:tabs>
        <w:ind w:left="3244" w:hanging="360"/>
      </w:pPr>
      <w:rPr>
        <w:rFonts w:ascii="Symbol" w:hAnsi="Symbol" w:cs="Symbol" w:hint="default"/>
      </w:rPr>
    </w:lvl>
    <w:lvl w:ilvl="4">
      <w:start w:val="1"/>
      <w:numFmt w:val="bullet"/>
      <w:lvlText w:val="o"/>
      <w:lvlJc w:val="left"/>
      <w:pPr>
        <w:tabs>
          <w:tab w:val="num" w:pos="0"/>
        </w:tabs>
        <w:ind w:left="3964" w:hanging="360"/>
      </w:pPr>
      <w:rPr>
        <w:rFonts w:ascii="Courier New" w:hAnsi="Courier New" w:cs="Courier New" w:hint="default"/>
      </w:rPr>
    </w:lvl>
    <w:lvl w:ilvl="5">
      <w:start w:val="1"/>
      <w:numFmt w:val="bullet"/>
      <w:lvlText w:val=""/>
      <w:lvlJc w:val="left"/>
      <w:pPr>
        <w:tabs>
          <w:tab w:val="num" w:pos="0"/>
        </w:tabs>
        <w:ind w:left="4684" w:hanging="360"/>
      </w:pPr>
      <w:rPr>
        <w:rFonts w:ascii="Wingdings" w:hAnsi="Wingdings" w:cs="Wingdings" w:hint="default"/>
      </w:rPr>
    </w:lvl>
    <w:lvl w:ilvl="6">
      <w:start w:val="1"/>
      <w:numFmt w:val="bullet"/>
      <w:lvlText w:val=""/>
      <w:lvlJc w:val="left"/>
      <w:pPr>
        <w:tabs>
          <w:tab w:val="num" w:pos="0"/>
        </w:tabs>
        <w:ind w:left="5404" w:hanging="360"/>
      </w:pPr>
      <w:rPr>
        <w:rFonts w:ascii="Symbol" w:hAnsi="Symbol" w:cs="Symbol" w:hint="default"/>
      </w:rPr>
    </w:lvl>
    <w:lvl w:ilvl="7">
      <w:start w:val="1"/>
      <w:numFmt w:val="bullet"/>
      <w:lvlText w:val="o"/>
      <w:lvlJc w:val="left"/>
      <w:pPr>
        <w:tabs>
          <w:tab w:val="num" w:pos="0"/>
        </w:tabs>
        <w:ind w:left="6124" w:hanging="360"/>
      </w:pPr>
      <w:rPr>
        <w:rFonts w:ascii="Courier New" w:hAnsi="Courier New" w:cs="Courier New" w:hint="default"/>
      </w:rPr>
    </w:lvl>
    <w:lvl w:ilvl="8">
      <w:start w:val="1"/>
      <w:numFmt w:val="bullet"/>
      <w:lvlText w:val=""/>
      <w:lvlJc w:val="left"/>
      <w:pPr>
        <w:tabs>
          <w:tab w:val="num" w:pos="0"/>
        </w:tabs>
        <w:ind w:left="6844" w:hanging="360"/>
      </w:pPr>
      <w:rPr>
        <w:rFonts w:ascii="Wingdings" w:hAnsi="Wingdings" w:cs="Wingdings" w:hint="default"/>
      </w:rPr>
    </w:lvl>
  </w:abstractNum>
  <w:abstractNum w:abstractNumId="6">
    <w:lvl w:ilvl="0">
      <w:start w:val="1"/>
      <w:numFmt w:val="decimal"/>
      <w:lvlText w:val="%1."/>
      <w:lvlJc w:val="left"/>
      <w:pPr>
        <w:tabs>
          <w:tab w:val="num" w:pos="0"/>
        </w:tabs>
        <w:ind w:left="720" w:hanging="360"/>
      </w:pPr>
      <w:rPr>
        <w:rFonts w:cs="Times New Roman"/>
      </w:rPr>
    </w:lvl>
    <w:lvl w:ilvl="1">
      <w:start w:val="1"/>
      <w:numFmt w:val="lowerLetter"/>
      <w:lvlText w:val="%2."/>
      <w:lvlJc w:val="left"/>
      <w:pPr>
        <w:tabs>
          <w:tab w:val="num" w:pos="0"/>
        </w:tabs>
        <w:ind w:left="1440" w:hanging="360"/>
      </w:pPr>
      <w:rPr>
        <w:rFonts w:cs="Times New Roman"/>
      </w:rPr>
    </w:lvl>
    <w:lvl w:ilvl="2">
      <w:start w:val="1"/>
      <w:numFmt w:val="lowerRoman"/>
      <w:lvlText w:val="%3."/>
      <w:lvlJc w:val="right"/>
      <w:pPr>
        <w:tabs>
          <w:tab w:val="num" w:pos="0"/>
        </w:tabs>
        <w:ind w:left="2160" w:hanging="180"/>
      </w:pPr>
      <w:rPr>
        <w:rFonts w:cs="Times New Roman"/>
      </w:rPr>
    </w:lvl>
    <w:lvl w:ilvl="3">
      <w:start w:val="1"/>
      <w:numFmt w:val="decimal"/>
      <w:lvlText w:val="%4."/>
      <w:lvlJc w:val="left"/>
      <w:pPr>
        <w:tabs>
          <w:tab w:val="num" w:pos="0"/>
        </w:tabs>
        <w:ind w:left="2880" w:hanging="360"/>
      </w:pPr>
      <w:rPr>
        <w:rFonts w:cs="Times New Roman"/>
      </w:rPr>
    </w:lvl>
    <w:lvl w:ilvl="4">
      <w:start w:val="1"/>
      <w:numFmt w:val="lowerLetter"/>
      <w:lvlText w:val="%5."/>
      <w:lvlJc w:val="left"/>
      <w:pPr>
        <w:tabs>
          <w:tab w:val="num" w:pos="0"/>
        </w:tabs>
        <w:ind w:left="3600" w:hanging="360"/>
      </w:pPr>
      <w:rPr>
        <w:rFonts w:cs="Times New Roman"/>
      </w:rPr>
    </w:lvl>
    <w:lvl w:ilvl="5">
      <w:start w:val="1"/>
      <w:numFmt w:val="lowerRoman"/>
      <w:lvlText w:val="%6."/>
      <w:lvlJc w:val="right"/>
      <w:pPr>
        <w:tabs>
          <w:tab w:val="num" w:pos="0"/>
        </w:tabs>
        <w:ind w:left="4320" w:hanging="180"/>
      </w:pPr>
      <w:rPr>
        <w:rFonts w:cs="Times New Roman"/>
      </w:rPr>
    </w:lvl>
    <w:lvl w:ilvl="6">
      <w:start w:val="1"/>
      <w:numFmt w:val="decimal"/>
      <w:lvlText w:val="%7."/>
      <w:lvlJc w:val="left"/>
      <w:pPr>
        <w:tabs>
          <w:tab w:val="num" w:pos="0"/>
        </w:tabs>
        <w:ind w:left="5040" w:hanging="360"/>
      </w:pPr>
      <w:rPr>
        <w:rFonts w:cs="Times New Roman"/>
      </w:rPr>
    </w:lvl>
    <w:lvl w:ilvl="7">
      <w:start w:val="1"/>
      <w:numFmt w:val="lowerLetter"/>
      <w:lvlText w:val="%8."/>
      <w:lvlJc w:val="left"/>
      <w:pPr>
        <w:tabs>
          <w:tab w:val="num" w:pos="0"/>
        </w:tabs>
        <w:ind w:left="5760" w:hanging="360"/>
      </w:pPr>
      <w:rPr>
        <w:rFonts w:cs="Times New Roman"/>
      </w:rPr>
    </w:lvl>
    <w:lvl w:ilvl="8">
      <w:start w:val="1"/>
      <w:numFmt w:val="lowerRoman"/>
      <w:lvlText w:val="%9."/>
      <w:lvlJc w:val="right"/>
      <w:pPr>
        <w:tabs>
          <w:tab w:val="num" w:pos="0"/>
        </w:tabs>
        <w:ind w:left="6480" w:hanging="180"/>
      </w:pPr>
      <w:rPr>
        <w:rFonts w:cs="Times New Roman"/>
      </w:rPr>
    </w:lvl>
  </w:abstractNum>
  <w:abstractNum w:abstractNumId="7">
    <w:lvl w:ilvl="0">
      <w:start w:val="1"/>
      <w:numFmt w:val="decimal"/>
      <w:lvlText w:val="%1."/>
      <w:lvlJc w:val="left"/>
      <w:pPr>
        <w:tabs>
          <w:tab w:val="num" w:pos="0"/>
        </w:tabs>
        <w:ind w:left="724" w:hanging="360"/>
      </w:pPr>
      <w:rPr>
        <w:rFonts w:cs="Times New Roman"/>
      </w:rPr>
    </w:lvl>
    <w:lvl w:ilvl="1">
      <w:start w:val="1"/>
      <w:numFmt w:val="lowerLetter"/>
      <w:lvlText w:val="%2."/>
      <w:lvlJc w:val="left"/>
      <w:pPr>
        <w:tabs>
          <w:tab w:val="num" w:pos="0"/>
        </w:tabs>
        <w:ind w:left="1444" w:hanging="360"/>
      </w:pPr>
      <w:rPr>
        <w:rFonts w:cs="Times New Roman"/>
      </w:rPr>
    </w:lvl>
    <w:lvl w:ilvl="2">
      <w:start w:val="1"/>
      <w:numFmt w:val="lowerRoman"/>
      <w:lvlText w:val="%3."/>
      <w:lvlJc w:val="right"/>
      <w:pPr>
        <w:tabs>
          <w:tab w:val="num" w:pos="0"/>
        </w:tabs>
        <w:ind w:left="2164" w:hanging="180"/>
      </w:pPr>
      <w:rPr>
        <w:rFonts w:cs="Times New Roman"/>
      </w:rPr>
    </w:lvl>
    <w:lvl w:ilvl="3">
      <w:start w:val="1"/>
      <w:numFmt w:val="decimal"/>
      <w:lvlText w:val="%4."/>
      <w:lvlJc w:val="left"/>
      <w:pPr>
        <w:tabs>
          <w:tab w:val="num" w:pos="0"/>
        </w:tabs>
        <w:ind w:left="2884" w:hanging="360"/>
      </w:pPr>
      <w:rPr>
        <w:rFonts w:cs="Times New Roman"/>
      </w:rPr>
    </w:lvl>
    <w:lvl w:ilvl="4">
      <w:start w:val="1"/>
      <w:numFmt w:val="lowerLetter"/>
      <w:lvlText w:val="%5."/>
      <w:lvlJc w:val="left"/>
      <w:pPr>
        <w:tabs>
          <w:tab w:val="num" w:pos="0"/>
        </w:tabs>
        <w:ind w:left="3604" w:hanging="360"/>
      </w:pPr>
      <w:rPr>
        <w:rFonts w:cs="Times New Roman"/>
      </w:rPr>
    </w:lvl>
    <w:lvl w:ilvl="5">
      <w:start w:val="1"/>
      <w:numFmt w:val="lowerRoman"/>
      <w:lvlText w:val="%6."/>
      <w:lvlJc w:val="right"/>
      <w:pPr>
        <w:tabs>
          <w:tab w:val="num" w:pos="0"/>
        </w:tabs>
        <w:ind w:left="4324" w:hanging="180"/>
      </w:pPr>
      <w:rPr>
        <w:rFonts w:cs="Times New Roman"/>
      </w:rPr>
    </w:lvl>
    <w:lvl w:ilvl="6">
      <w:start w:val="1"/>
      <w:numFmt w:val="decimal"/>
      <w:lvlText w:val="%7."/>
      <w:lvlJc w:val="left"/>
      <w:pPr>
        <w:tabs>
          <w:tab w:val="num" w:pos="0"/>
        </w:tabs>
        <w:ind w:left="5044" w:hanging="360"/>
      </w:pPr>
      <w:rPr>
        <w:rFonts w:cs="Times New Roman"/>
      </w:rPr>
    </w:lvl>
    <w:lvl w:ilvl="7">
      <w:start w:val="1"/>
      <w:numFmt w:val="lowerLetter"/>
      <w:lvlText w:val="%8."/>
      <w:lvlJc w:val="left"/>
      <w:pPr>
        <w:tabs>
          <w:tab w:val="num" w:pos="0"/>
        </w:tabs>
        <w:ind w:left="5764" w:hanging="360"/>
      </w:pPr>
      <w:rPr>
        <w:rFonts w:cs="Times New Roman"/>
      </w:rPr>
    </w:lvl>
    <w:lvl w:ilvl="8">
      <w:start w:val="1"/>
      <w:numFmt w:val="lowerRoman"/>
      <w:lvlText w:val="%9."/>
      <w:lvlJc w:val="right"/>
      <w:pPr>
        <w:tabs>
          <w:tab w:val="num" w:pos="0"/>
        </w:tabs>
        <w:ind w:left="6484" w:hanging="180"/>
      </w:pPr>
      <w:rPr>
        <w:rFonts w:cs="Times New Roman"/>
      </w:rPr>
    </w:lvl>
  </w:abstractNum>
  <w:abstractNum w:abstractNumId="8">
    <w:lvl w:ilvl="0">
      <w:start w:val="1"/>
      <w:numFmt w:val="none"/>
      <w:suff w:val="nothing"/>
      <w:lvlText w:val=""/>
      <w:lvlJc w:val="left"/>
      <w:pPr>
        <w:tabs>
          <w:tab w:val="num" w:pos="0"/>
        </w:tabs>
        <w:ind w:left="0" w:hanging="0"/>
      </w:pPr>
    </w:lvl>
    <w:lvl w:ilvl="1">
      <w:start w:val="1"/>
      <w:numFmt w:val="none"/>
      <w:suff w:val="nothing"/>
      <w:lvlText w:val=""/>
      <w:lvlJc w:val="left"/>
      <w:pPr>
        <w:tabs>
          <w:tab w:val="num" w:pos="0"/>
        </w:tabs>
        <w:ind w:left="0" w:hanging="0"/>
      </w:pPr>
    </w:lvl>
    <w:lvl w:ilvl="2">
      <w:start w:val="1"/>
      <w:numFmt w:val="none"/>
      <w:suff w:val="nothing"/>
      <w:lvlText w:val=""/>
      <w:lvlJc w:val="left"/>
      <w:pPr>
        <w:tabs>
          <w:tab w:val="num" w:pos="0"/>
        </w:tabs>
        <w:ind w:left="0" w:hanging="0"/>
      </w:pPr>
    </w:lvl>
    <w:lvl w:ilvl="3">
      <w:start w:val="1"/>
      <w:numFmt w:val="none"/>
      <w:suff w:val="nothing"/>
      <w:lvlText w:val=""/>
      <w:lvlJc w:val="left"/>
      <w:pPr>
        <w:tabs>
          <w:tab w:val="num" w:pos="0"/>
        </w:tabs>
        <w:ind w:left="0" w:hanging="0"/>
      </w:pPr>
    </w:lvl>
    <w:lvl w:ilvl="4">
      <w:start w:val="1"/>
      <w:numFmt w:val="none"/>
      <w:suff w:val="nothing"/>
      <w:lvlText w:val=""/>
      <w:lvlJc w:val="left"/>
      <w:pPr>
        <w:tabs>
          <w:tab w:val="num" w:pos="0"/>
        </w:tabs>
        <w:ind w:left="0" w:hanging="0"/>
      </w:pPr>
    </w:lvl>
    <w:lvl w:ilvl="5">
      <w:start w:val="1"/>
      <w:numFmt w:val="none"/>
      <w:suff w:val="nothing"/>
      <w:lvlText w:val=""/>
      <w:lvlJc w:val="left"/>
      <w:pPr>
        <w:tabs>
          <w:tab w:val="num" w:pos="0"/>
        </w:tabs>
        <w:ind w:left="0" w:hanging="0"/>
      </w:pPr>
    </w:lvl>
    <w:lvl w:ilvl="6">
      <w:start w:val="1"/>
      <w:numFmt w:val="none"/>
      <w:suff w:val="nothing"/>
      <w:lvlText w:val=""/>
      <w:lvlJc w:val="left"/>
      <w:pPr>
        <w:tabs>
          <w:tab w:val="num" w:pos="0"/>
        </w:tabs>
        <w:ind w:left="0" w:hanging="0"/>
      </w:pPr>
    </w:lvl>
    <w:lvl w:ilvl="7">
      <w:start w:val="1"/>
      <w:numFmt w:val="none"/>
      <w:suff w:val="nothing"/>
      <w:lvlText w:val=""/>
      <w:lvlJc w:val="left"/>
      <w:pPr>
        <w:tabs>
          <w:tab w:val="num" w:pos="0"/>
        </w:tabs>
        <w:ind w:left="0" w:hanging="0"/>
      </w:pPr>
    </w:lvl>
    <w:lvl w:ilvl="8">
      <w:start w:val="1"/>
      <w:numFmt w:val="none"/>
      <w:suff w:val="nothing"/>
      <w:lvlText w:val=""/>
      <w:lvlJc w:val="left"/>
      <w:pPr>
        <w:tabs>
          <w:tab w:val="num" w:pos="0"/>
        </w:tabs>
        <w:ind w:left="0" w:hanging="0"/>
      </w:p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bering>
</file>

<file path=word/settings.xml><?xml version="1.0" encoding="utf-8"?>
<w:settings xmlns:w="http://schemas.openxmlformats.org/wordprocessingml/2006/main">
  <w:zoom w:val="bestFit" w:percent="126"/>
  <w:defaultTabStop w:val="708"/>
  <w:autoHyphenation w:val="true"/>
  <w:compat>
    <w:compatSetting w:name="compatibilityMode" w:uri="http://schemas.microsoft.com/office/word" w:val="12"/>
  </w:compat>
  <w:themeFontLang w:val="pl-PL" w:eastAsia="" w:bidi=""/>
</w:settings>
</file>

<file path=word/styles.xml><?xml version="1.0" encoding="utf-8"?>
<w:styles xmlns:w="http://schemas.openxmlformats.org/wordprocessingml/2006/main" xmlns:w14="http://schemas.microsoft.com/office/word/2010/wordml" xmlns:mc="http://schemas.openxmlformats.org/markup-compatibility/2006" mc:Ignorable="w14">
  <w:docDefaults>
    <w:rPrDefault>
      <w:rPr>
        <w:rFonts w:ascii="Calibri" w:hAnsi="Calibri" w:eastAsia="Calibri" w:cs="Times New Roman"/>
        <w:sz w:val="22"/>
        <w:szCs w:val="22"/>
        <w:lang w:val="pl-PL" w:eastAsia="pl-PL" w:bidi="ar-SA"/>
      </w:rPr>
    </w:rPrDefault>
    <w:pPrDefault>
      <w:pPr>
        <w:suppressAutoHyphens w:val="true"/>
      </w:pPr>
    </w:pPrDefault>
  </w:docDefaults>
  <w:latentStyles w:defLockedState="0" w:defUIPriority="99" w:defSemiHidden="1" w:defUnhideWhenUsed="1" w:defQFormat="0" w:count="267">
    <w:lsdException w:name="Normal" w:locked="1" w:uiPriority="0" w:semiHidden="0" w:unhideWhenUsed="0" w:qFormat="1"/>
    <w:lsdException w:name="heading 1" w:locked="1" w:uiPriority="0" w:semiHidden="0" w:unhideWhenUsed="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uiPriority="0" w:semiHidden="0" w:unhideWhenUsed="0"/>
    <w:lsdException w:name="toc 2" w:locked="1" w:uiPriority="0" w:semiHidden="0" w:unhideWhenUsed="0"/>
    <w:lsdException w:name="toc 3" w:locked="1" w:uiPriority="0" w:semiHidden="0" w:unhideWhenUsed="0"/>
    <w:lsdException w:name="toc 4" w:locked="1" w:uiPriority="0" w:semiHidden="0" w:unhideWhenUsed="0"/>
    <w:lsdException w:name="toc 5" w:locked="1" w:uiPriority="0" w:semiHidden="0" w:unhideWhenUsed="0"/>
    <w:lsdException w:name="toc 6" w:locked="1" w:uiPriority="0" w:semiHidden="0" w:unhideWhenUsed="0"/>
    <w:lsdException w:name="toc 7" w:locked="1" w:uiPriority="0" w:semiHidden="0" w:unhideWhenUsed="0"/>
    <w:lsdException w:name="toc 8" w:locked="1" w:uiPriority="0" w:semiHidden="0" w:unhideWhenUsed="0"/>
    <w:lsdException w:name="toc 9" w:locked="1" w:uiPriority="0" w:semiHidden="0" w:unhideWhenUsed="0"/>
    <w:lsdException w:name="caption" w:locked="1" w:uiPriority="0" w:qFormat="1"/>
    <w:lsdException w:name="Title" w:locked="1" w:uiPriority="0" w:semiHidden="0" w:unhideWhenUsed="0" w:qFormat="1"/>
    <w:lsdException w:name="Default Paragraph Font" w:locked="1" w:uiPriority="0" w:semiHidden="0" w:unhideWhenUsed="0"/>
    <w:lsdException w:name="Subtitle" w:locked="1" w:uiPriority="0" w:semiHidden="0" w:unhideWhenUsed="0" w:qFormat="1"/>
    <w:lsdException w:name="Strong" w:locked="1" w:uiPriority="0" w:semiHidden="0" w:unhideWhenUsed="0" w:qFormat="1"/>
    <w:lsdException w:name="Emphasis" w:locked="1" w:uiPriority="0" w:semiHidden="0" w:unhideWhenUsed="0" w:qFormat="1"/>
    <w:lsdException w:name="Table Grid" w:locked="1" w:uiPriority="0" w:semiHidden="0" w:unhideWhenUsed="0"/>
    <w:lsdException w:name="Placeholder Text" w:unhideWhenUsed="0"/>
    <w:lsdException w:name="No Spacing" w:uiPriority="1" w:semiHidden="0" w:unhideWhenUsed="0" w:qFormat="1"/>
    <w:lsdException w:name="Light Shading" w:uiPriority="60" w:semiHidden="0" w:unhideWhenUsed="0"/>
    <w:lsdException w:name="Light List" w:uiPriority="61" w:semiHidden="0" w:unhideWhenUsed="0"/>
    <w:lsdException w:name="Light Grid" w:uiPriority="62" w:semiHidden="0" w:unhideWhenUsed="0"/>
    <w:lsdException w:name="Medium Shading 1" w:uiPriority="63" w:semiHidden="0" w:unhideWhenUsed="0"/>
    <w:lsdException w:name="Medium Shading 2" w:uiPriority="64" w:semiHidden="0" w:unhideWhenUsed="0"/>
    <w:lsdException w:name="Medium List 1" w:uiPriority="65" w:semiHidden="0" w:unhideWhenUsed="0"/>
    <w:lsdException w:name="Medium List 2" w:uiPriority="66" w:semiHidden="0" w:unhideWhenUsed="0"/>
    <w:lsdException w:name="Medium Grid 1" w:uiPriority="67" w:semiHidden="0" w:unhideWhenUsed="0"/>
    <w:lsdException w:name="Medium Grid 2" w:uiPriority="68" w:semiHidden="0" w:unhideWhenUsed="0"/>
    <w:lsdException w:name="Medium Grid 3" w:uiPriority="69" w:semiHidden="0" w:unhideWhenUsed="0"/>
    <w:lsdException w:name="Dark List" w:uiPriority="70" w:semiHidden="0" w:unhideWhenUsed="0"/>
    <w:lsdException w:name="Colorful Shading" w:uiPriority="71" w:semiHidden="0" w:unhideWhenUsed="0"/>
    <w:lsdException w:name="Colorful List" w:uiPriority="72" w:semiHidden="0" w:unhideWhenUsed="0"/>
    <w:lsdException w:name="Colorful Grid" w:uiPriority="73" w:semiHidden="0" w:unhideWhenUsed="0"/>
    <w:lsdException w:name="Light Shading Accent 1" w:uiPriority="60" w:semiHidden="0" w:unhideWhenUsed="0"/>
    <w:lsdException w:name="Light List Accent 1" w:uiPriority="61" w:semiHidden="0" w:unhideWhenUsed="0"/>
    <w:lsdException w:name="Light Grid Accent 1" w:uiPriority="62" w:semiHidden="0" w:unhideWhenUsed="0"/>
    <w:lsdException w:name="Medium Shading 1 Accent 1" w:uiPriority="63" w:semiHidden="0" w:unhideWhenUsed="0"/>
    <w:lsdException w:name="Medium Shading 2 Accent 1" w:uiPriority="64" w:semiHidden="0" w:unhideWhenUsed="0"/>
    <w:lsdException w:name="Medium List 1 Accent 1" w:uiPriority="65" w:semiHidden="0" w:unhideWhenUsed="0"/>
    <w:lsdException w:name="Revision" w:unhideWhenUsed="0"/>
    <w:lsdException w:name="List Paragraph" w:uiPriority="34" w:semiHidden="0" w:unhideWhenUsed="0" w:qFormat="1"/>
    <w:lsdException w:name="Quote" w:uiPriority="29" w:semiHidden="0" w:unhideWhenUsed="0" w:qFormat="1"/>
    <w:lsdException w:name="Intense Quote" w:uiPriority="30" w:semiHidden="0" w:unhideWhenUsed="0" w:qFormat="1"/>
    <w:lsdException w:name="Medium List 2 Accent 1" w:uiPriority="66" w:semiHidden="0" w:unhideWhenUsed="0"/>
    <w:lsdException w:name="Medium Grid 1 Accent 1" w:uiPriority="67" w:semiHidden="0" w:unhideWhenUsed="0"/>
    <w:lsdException w:name="Medium Grid 2 Accent 1" w:uiPriority="68" w:semiHidden="0" w:unhideWhenUsed="0"/>
    <w:lsdException w:name="Medium Grid 3 Accent 1" w:uiPriority="69" w:semiHidden="0" w:unhideWhenUsed="0"/>
    <w:lsdException w:name="Dark List Accent 1" w:uiPriority="70" w:semiHidden="0" w:unhideWhenUsed="0"/>
    <w:lsdException w:name="Colorful Shading Accent 1" w:uiPriority="71" w:semiHidden="0" w:unhideWhenUsed="0"/>
    <w:lsdException w:name="Colorful List Accent 1" w:uiPriority="72" w:semiHidden="0" w:unhideWhenUsed="0"/>
    <w:lsdException w:name="Colorful Grid Accent 1" w:uiPriority="73" w:semiHidden="0" w:unhideWhenUsed="0"/>
    <w:lsdException w:name="Light Shading Accent 2" w:uiPriority="60" w:semiHidden="0" w:unhideWhenUsed="0"/>
    <w:lsdException w:name="Light List Accent 2" w:uiPriority="61" w:semiHidden="0" w:unhideWhenUsed="0"/>
    <w:lsdException w:name="Light Grid Accent 2" w:uiPriority="62" w:semiHidden="0" w:unhideWhenUsed="0"/>
    <w:lsdException w:name="Medium Shading 1 Accent 2" w:uiPriority="63" w:semiHidden="0" w:unhideWhenUsed="0"/>
    <w:lsdException w:name="Medium Shading 2 Accent 2" w:uiPriority="64" w:semiHidden="0" w:unhideWhenUsed="0"/>
    <w:lsdException w:name="Medium List 1 Accent 2" w:uiPriority="65" w:semiHidden="0" w:unhideWhenUsed="0"/>
    <w:lsdException w:name="Medium List 2 Accent 2" w:uiPriority="66" w:semiHidden="0" w:unhideWhenUsed="0"/>
    <w:lsdException w:name="Medium Grid 1 Accent 2" w:uiPriority="67" w:semiHidden="0" w:unhideWhenUsed="0"/>
    <w:lsdException w:name="Medium Grid 2 Accent 2" w:uiPriority="68" w:semiHidden="0" w:unhideWhenUsed="0"/>
    <w:lsdException w:name="Medium Grid 3 Accent 2" w:uiPriority="69" w:semiHidden="0" w:unhideWhenUsed="0"/>
    <w:lsdException w:name="Dark List Accent 2" w:uiPriority="70" w:semiHidden="0" w:unhideWhenUsed="0"/>
    <w:lsdException w:name="Colorful Shading Accent 2" w:uiPriority="71" w:semiHidden="0" w:unhideWhenUsed="0"/>
    <w:lsdException w:name="Colorful List Accent 2" w:uiPriority="72" w:semiHidden="0" w:unhideWhenUsed="0"/>
    <w:lsdException w:name="Colorful Grid Accent 2" w:uiPriority="73" w:semiHidden="0" w:unhideWhenUsed="0"/>
    <w:lsdException w:name="Light Shading Accent 3" w:uiPriority="60" w:semiHidden="0" w:unhideWhenUsed="0"/>
    <w:lsdException w:name="Light List Accent 3" w:uiPriority="61" w:semiHidden="0" w:unhideWhenUsed="0"/>
    <w:lsdException w:name="Light Grid Accent 3" w:uiPriority="62" w:semiHidden="0" w:unhideWhenUsed="0"/>
    <w:lsdException w:name="Medium Shading 1 Accent 3" w:uiPriority="63" w:semiHidden="0" w:unhideWhenUsed="0"/>
    <w:lsdException w:name="Medium Shading 2 Accent 3" w:uiPriority="64" w:semiHidden="0" w:unhideWhenUsed="0"/>
    <w:lsdException w:name="Medium List 1 Accent 3" w:uiPriority="65" w:semiHidden="0" w:unhideWhenUsed="0"/>
    <w:lsdException w:name="Medium List 2 Accent 3" w:uiPriority="66" w:semiHidden="0" w:unhideWhenUsed="0"/>
    <w:lsdException w:name="Medium Grid 1 Accent 3" w:uiPriority="67" w:semiHidden="0" w:unhideWhenUsed="0"/>
    <w:lsdException w:name="Medium Grid 2 Accent 3" w:uiPriority="68" w:semiHidden="0" w:unhideWhenUsed="0"/>
    <w:lsdException w:name="Medium Grid 3 Accent 3" w:uiPriority="69" w:semiHidden="0" w:unhideWhenUsed="0"/>
    <w:lsdException w:name="Dark List Accent 3" w:uiPriority="70" w:semiHidden="0" w:unhideWhenUsed="0"/>
    <w:lsdException w:name="Colorful Shading Accent 3" w:uiPriority="71" w:semiHidden="0" w:unhideWhenUsed="0"/>
    <w:lsdException w:name="Colorful List Accent 3" w:uiPriority="72" w:semiHidden="0" w:unhideWhenUsed="0"/>
    <w:lsdException w:name="Colorful Grid Accent 3" w:uiPriority="73" w:semiHidden="0" w:unhideWhenUsed="0"/>
    <w:lsdException w:name="Light Shading Accent 4" w:uiPriority="60" w:semiHidden="0" w:unhideWhenUsed="0"/>
    <w:lsdException w:name="Light List Accent 4" w:uiPriority="61" w:semiHidden="0" w:unhideWhenUsed="0"/>
    <w:lsdException w:name="Light Grid Accent 4" w:uiPriority="62" w:semiHidden="0" w:unhideWhenUsed="0"/>
    <w:lsdException w:name="Medium Shading 1 Accent 4" w:uiPriority="63" w:semiHidden="0" w:unhideWhenUsed="0"/>
    <w:lsdException w:name="Medium Shading 2 Accent 4" w:uiPriority="64" w:semiHidden="0" w:unhideWhenUsed="0"/>
    <w:lsdException w:name="Medium List 1 Accent 4" w:uiPriority="65" w:semiHidden="0" w:unhideWhenUsed="0"/>
    <w:lsdException w:name="Medium List 2 Accent 4" w:uiPriority="66" w:semiHidden="0" w:unhideWhenUsed="0"/>
    <w:lsdException w:name="Medium Grid 1 Accent 4" w:uiPriority="67" w:semiHidden="0" w:unhideWhenUsed="0"/>
    <w:lsdException w:name="Medium Grid 2 Accent 4" w:uiPriority="68" w:semiHidden="0" w:unhideWhenUsed="0"/>
    <w:lsdException w:name="Medium Grid 3 Accent 4" w:uiPriority="69" w:semiHidden="0" w:unhideWhenUsed="0"/>
    <w:lsdException w:name="Dark List Accent 4" w:uiPriority="70" w:semiHidden="0" w:unhideWhenUsed="0"/>
    <w:lsdException w:name="Colorful Shading Accent 4" w:uiPriority="71" w:semiHidden="0" w:unhideWhenUsed="0"/>
    <w:lsdException w:name="Colorful List Accent 4" w:uiPriority="72" w:semiHidden="0" w:unhideWhenUsed="0"/>
    <w:lsdException w:name="Colorful Grid Accent 4" w:uiPriority="73" w:semiHidden="0" w:unhideWhenUsed="0"/>
    <w:lsdException w:name="Light Shading Accent 5" w:uiPriority="60" w:semiHidden="0" w:unhideWhenUsed="0"/>
    <w:lsdException w:name="Light List Accent 5" w:uiPriority="61" w:semiHidden="0" w:unhideWhenUsed="0"/>
    <w:lsdException w:name="Light Grid Accent 5" w:uiPriority="62" w:semiHidden="0" w:unhideWhenUsed="0"/>
    <w:lsdException w:name="Medium Shading 1 Accent 5" w:uiPriority="63" w:semiHidden="0" w:unhideWhenUsed="0"/>
    <w:lsdException w:name="Medium Shading 2 Accent 5" w:uiPriority="64" w:semiHidden="0" w:unhideWhenUsed="0"/>
    <w:lsdException w:name="Medium List 1 Accent 5" w:uiPriority="65" w:semiHidden="0" w:unhideWhenUsed="0"/>
    <w:lsdException w:name="Medium List 2 Accent 5" w:uiPriority="66" w:semiHidden="0" w:unhideWhenUsed="0"/>
    <w:lsdException w:name="Medium Grid 1 Accent 5" w:uiPriority="67" w:semiHidden="0" w:unhideWhenUsed="0"/>
    <w:lsdException w:name="Medium Grid 2 Accent 5" w:uiPriority="68" w:semiHidden="0" w:unhideWhenUsed="0"/>
    <w:lsdException w:name="Medium Grid 3 Accent 5" w:uiPriority="69" w:semiHidden="0" w:unhideWhenUsed="0"/>
    <w:lsdException w:name="Dark List Accent 5" w:uiPriority="70" w:semiHidden="0" w:unhideWhenUsed="0"/>
    <w:lsdException w:name="Colorful Shading Accent 5" w:uiPriority="71" w:semiHidden="0" w:unhideWhenUsed="0"/>
    <w:lsdException w:name="Colorful List Accent 5" w:uiPriority="72" w:semiHidden="0" w:unhideWhenUsed="0"/>
    <w:lsdException w:name="Colorful Grid Accent 5" w:uiPriority="73" w:semiHidden="0" w:unhideWhenUsed="0"/>
    <w:lsdException w:name="Light Shading Accent 6" w:uiPriority="60" w:semiHidden="0" w:unhideWhenUsed="0"/>
    <w:lsdException w:name="Light List Accent 6" w:uiPriority="61" w:semiHidden="0" w:unhideWhenUsed="0"/>
    <w:lsdException w:name="Light Grid Accent 6" w:uiPriority="62" w:semiHidden="0" w:unhideWhenUsed="0"/>
    <w:lsdException w:name="Medium Shading 1 Accent 6" w:uiPriority="63" w:semiHidden="0" w:unhideWhenUsed="0"/>
    <w:lsdException w:name="Medium Shading 2 Accent 6" w:uiPriority="64" w:semiHidden="0" w:unhideWhenUsed="0"/>
    <w:lsdException w:name="Medium List 1 Accent 6" w:uiPriority="65" w:semiHidden="0" w:unhideWhenUsed="0"/>
    <w:lsdException w:name="Medium List 2 Accent 6" w:uiPriority="66" w:semiHidden="0" w:unhideWhenUsed="0"/>
    <w:lsdException w:name="Medium Grid 1 Accent 6" w:uiPriority="67" w:semiHidden="0" w:unhideWhenUsed="0"/>
    <w:lsdException w:name="Medium Grid 2 Accent 6" w:uiPriority="68" w:semiHidden="0" w:unhideWhenUsed="0"/>
    <w:lsdException w:name="Medium Grid 3 Accent 6" w:uiPriority="69" w:semiHidden="0" w:unhideWhenUsed="0"/>
    <w:lsdException w:name="Dark List Accent 6" w:uiPriority="70" w:semiHidden="0" w:unhideWhenUsed="0"/>
    <w:lsdException w:name="Colorful Shading Accent 6" w:uiPriority="71" w:semiHidden="0" w:unhideWhenUsed="0"/>
    <w:lsdException w:name="Colorful List Accent 6" w:uiPriority="72" w:semiHidden="0" w:unhideWhenUsed="0"/>
    <w:lsdException w:name="Colorful Grid Accent 6" w:uiPriority="73" w:semiHidden="0" w:unhideWhenUsed="0"/>
    <w:lsdException w:name="Subtle Emphasis" w:uiPriority="19" w:semiHidden="0" w:unhideWhenUsed="0" w:qFormat="1"/>
    <w:lsdException w:name="Intense Emphasis" w:uiPriority="21" w:semiHidden="0" w:unhideWhenUsed="0" w:qFormat="1"/>
    <w:lsdException w:name="Subtle Reference" w:uiPriority="31" w:semiHidden="0" w:unhideWhenUsed="0" w:qFormat="1"/>
    <w:lsdException w:name="Intense Reference" w:uiPriority="32" w:semiHidden="0" w:unhideWhenUsed="0" w:qFormat="1"/>
    <w:lsdException w:name="Book Title" w:uiPriority="33" w:semiHidden="0" w:unhideWhenUsed="0" w:qFormat="1"/>
    <w:lsdException w:name="Bibliography" w:uiPriority="37"/>
    <w:lsdException w:name="TOC Heading" w:uiPriority="39" w:qFormat="1"/>
  </w:latentStyles>
  <w:style w:type="paragraph" w:styleId="Normal" w:default="1">
    <w:name w:val="Normal"/>
    <w:qFormat/>
    <w:rsid w:val="0090684a"/>
    <w:pPr>
      <w:widowControl/>
      <w:suppressAutoHyphens w:val="true"/>
      <w:bidi w:val="0"/>
      <w:spacing w:lineRule="auto" w:line="276" w:before="0" w:after="200"/>
      <w:jc w:val="left"/>
    </w:pPr>
    <w:rPr>
      <w:rFonts w:ascii="Calibri" w:hAnsi="Calibri" w:eastAsia="Calibri" w:cs="Times New Roman"/>
      <w:color w:val="auto"/>
      <w:kern w:val="0"/>
      <w:sz w:val="22"/>
      <w:szCs w:val="22"/>
      <w:lang w:val="pl-PL" w:eastAsia="en-US" w:bidi="ar-SA"/>
    </w:rPr>
  </w:style>
  <w:style w:type="character" w:styleId="DefaultParagraphFont" w:default="1">
    <w:name w:val="Default Paragraph Font"/>
    <w:uiPriority w:val="99"/>
    <w:semiHidden/>
    <w:qFormat/>
    <w:rPr/>
  </w:style>
  <w:style w:type="character" w:styleId="HeaderChar" w:customStyle="1">
    <w:name w:val="Header Char"/>
    <w:basedOn w:val="DefaultParagraphFont"/>
    <w:uiPriority w:val="99"/>
    <w:qFormat/>
    <w:locked/>
    <w:rsid w:val="003854eb"/>
    <w:rPr>
      <w:rFonts w:cs="Times New Roman"/>
    </w:rPr>
  </w:style>
  <w:style w:type="character" w:styleId="FooterChar" w:customStyle="1">
    <w:name w:val="Footer Char"/>
    <w:basedOn w:val="DefaultParagraphFont"/>
    <w:uiPriority w:val="99"/>
    <w:qFormat/>
    <w:locked/>
    <w:rsid w:val="003854eb"/>
    <w:rPr>
      <w:rFonts w:cs="Times New Roman"/>
    </w:rPr>
  </w:style>
  <w:style w:type="character" w:styleId="BalloonTextChar" w:customStyle="1">
    <w:name w:val="Balloon Text Char"/>
    <w:basedOn w:val="DefaultParagraphFont"/>
    <w:link w:val="BalloonText"/>
    <w:uiPriority w:val="99"/>
    <w:semiHidden/>
    <w:qFormat/>
    <w:locked/>
    <w:rsid w:val="003854eb"/>
    <w:rPr>
      <w:rFonts w:ascii="Tahoma" w:hAnsi="Tahoma" w:cs="Tahoma"/>
      <w:sz w:val="16"/>
      <w:szCs w:val="16"/>
    </w:rPr>
  </w:style>
  <w:style w:type="paragraph" w:styleId="Nagwek">
    <w:name w:val="Nagłówek"/>
    <w:basedOn w:val="Normal"/>
    <w:next w:val="BodyText"/>
    <w:qFormat/>
    <w:pPr>
      <w:keepNext w:val="true"/>
      <w:spacing w:before="240" w:after="120"/>
    </w:pPr>
    <w:rPr>
      <w:rFonts w:ascii="Liberation Sans" w:hAnsi="Liberation Sans" w:eastAsia="Microsoft YaHei" w:cs="Lucida Sans"/>
      <w:sz w:val="28"/>
      <w:szCs w:val="28"/>
    </w:rPr>
  </w:style>
  <w:style w:type="paragraph" w:styleId="BodyText">
    <w:name w:val="Body Text"/>
    <w:basedOn w:val="Normal"/>
    <w:pPr>
      <w:spacing w:lineRule="auto" w:line="276" w:before="0" w:after="140"/>
    </w:pPr>
    <w:rPr/>
  </w:style>
  <w:style w:type="paragraph" w:styleId="List">
    <w:name w:val="List"/>
    <w:basedOn w:val="BodyText"/>
    <w:pPr/>
    <w:rPr>
      <w:rFonts w:cs="Lucida Sans"/>
    </w:rPr>
  </w:style>
  <w:style w:type="paragraph" w:styleId="Caption">
    <w:name w:val="Caption"/>
    <w:basedOn w:val="Normal"/>
    <w:qFormat/>
    <w:pPr>
      <w:suppressLineNumbers/>
      <w:spacing w:before="120" w:after="120"/>
    </w:pPr>
    <w:rPr>
      <w:rFonts w:cs="Lucida Sans"/>
      <w:i/>
      <w:iCs/>
      <w:sz w:val="24"/>
      <w:szCs w:val="24"/>
    </w:rPr>
  </w:style>
  <w:style w:type="paragraph" w:styleId="Indeks">
    <w:name w:val="Indeks"/>
    <w:basedOn w:val="Normal"/>
    <w:qFormat/>
    <w:pPr>
      <w:suppressLineNumbers/>
    </w:pPr>
    <w:rPr>
      <w:rFonts w:cs="Lucida Sans"/>
    </w:rPr>
  </w:style>
  <w:style w:type="paragraph" w:styleId="ListParagraph">
    <w:name w:val="List Paragraph"/>
    <w:basedOn w:val="Normal"/>
    <w:uiPriority w:val="99"/>
    <w:qFormat/>
    <w:rsid w:val="003854eb"/>
    <w:pPr>
      <w:spacing w:before="0" w:after="200"/>
      <w:ind w:left="720"/>
      <w:contextualSpacing/>
    </w:pPr>
    <w:rPr/>
  </w:style>
  <w:style w:type="paragraph" w:styleId="Gwkaistopka">
    <w:name w:val="Główka i stopka"/>
    <w:basedOn w:val="Normal"/>
    <w:qFormat/>
    <w:pPr/>
    <w:rPr/>
  </w:style>
  <w:style w:type="paragraph" w:styleId="Header">
    <w:name w:val="Header"/>
    <w:basedOn w:val="Normal"/>
    <w:link w:val="HeaderChar"/>
    <w:uiPriority w:val="99"/>
    <w:rsid w:val="003854eb"/>
    <w:pPr>
      <w:tabs>
        <w:tab w:val="clear" w:pos="708"/>
        <w:tab w:val="center" w:pos="4536" w:leader="none"/>
        <w:tab w:val="right" w:pos="9072" w:leader="none"/>
      </w:tabs>
      <w:spacing w:lineRule="auto" w:line="240" w:before="0" w:after="0"/>
    </w:pPr>
    <w:rPr/>
  </w:style>
  <w:style w:type="paragraph" w:styleId="Footer">
    <w:name w:val="Footer"/>
    <w:basedOn w:val="Normal"/>
    <w:link w:val="FooterChar"/>
    <w:uiPriority w:val="99"/>
    <w:rsid w:val="003854eb"/>
    <w:pPr>
      <w:tabs>
        <w:tab w:val="clear" w:pos="708"/>
        <w:tab w:val="center" w:pos="4536" w:leader="none"/>
        <w:tab w:val="right" w:pos="9072" w:leader="none"/>
      </w:tabs>
      <w:spacing w:lineRule="auto" w:line="240" w:before="0" w:after="0"/>
    </w:pPr>
    <w:rPr/>
  </w:style>
  <w:style w:type="paragraph" w:styleId="BalloonText">
    <w:name w:val="Balloon Text"/>
    <w:basedOn w:val="Normal"/>
    <w:link w:val="BalloonTextChar"/>
    <w:uiPriority w:val="99"/>
    <w:semiHidden/>
    <w:qFormat/>
    <w:rsid w:val="003854eb"/>
    <w:pPr>
      <w:spacing w:lineRule="auto" w:line="240" w:before="0" w:after="0"/>
    </w:pPr>
    <w:rPr>
      <w:rFonts w:ascii="Tahoma" w:hAnsi="Tahoma" w:cs="Tahoma"/>
      <w:sz w:val="16"/>
      <w:szCs w:val="16"/>
    </w:rPr>
  </w:style>
  <w:style w:type="numbering" w:styleId="NoList" w:default="1">
    <w:name w:val="No List"/>
    <w:uiPriority w:val="99"/>
    <w:semiHidden/>
    <w:unhideWhenUsed/>
    <w:qFormat/>
  </w:style>
  <w:style w:type="table" w:default="1" w:styleId="TableNormal">
    <w:name w:val="Normal Table"/>
    <w:uiPriority w:val="99"/>
    <w:semiHidden/>
    <w:unhideWhenUsed/>
    <w:qFormat/>
    <w:tblPr>
      <w:tblCellMar>
        <w:top w:w="0" w:type="dxa"/>
        <w:left w:w="108" w:type="dxa"/>
        <w:bottom w:w="0" w:type="dxa"/>
        <w:right w:w="108" w:type="dxa"/>
      </w:tblCellMar>
    </w:tblPr>
  </w:style>
  <w:style w:type="table" w:styleId="TableGrid">
    <w:name w:val="Table Grid"/>
    <w:basedOn w:val="TableNormal"/>
    <w:uiPriority w:val="99"/>
    <w:rsid w:val="009a3ab8"/>
    <w:rPr>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s>
</file>

<file path=word/_rels/document.xml.rels><?xml version="1.0" encoding="UTF-8"?>
<Relationships xmlns="http://schemas.openxmlformats.org/package/2006/relationships"><Relationship Id="rId1" Type="http://schemas.openxmlformats.org/officeDocument/2006/relationships/styles" Target="styles.xml"/><Relationship Id="rId2" Type="http://schemas.openxmlformats.org/officeDocument/2006/relationships/image" Target="media/image1.jpeg"/><Relationship Id="rId3" Type="http://schemas.openxmlformats.org/officeDocument/2006/relationships/image" Target="media/image2.jpeg"/><Relationship Id="rId4" Type="http://schemas.openxmlformats.org/officeDocument/2006/relationships/image" Target="media/image3.jpeg"/><Relationship Id="rId5" Type="http://schemas.openxmlformats.org/officeDocument/2006/relationships/image" Target="media/image4.jpeg"/><Relationship Id="rId6" Type="http://schemas.openxmlformats.org/officeDocument/2006/relationships/header" Target="header1.xml"/><Relationship Id="rId7" Type="http://schemas.openxmlformats.org/officeDocument/2006/relationships/header" Target="header2.xml"/><Relationship Id="rId8" Type="http://schemas.openxmlformats.org/officeDocument/2006/relationships/header" Target="header3.xml"/><Relationship Id="rId9" Type="http://schemas.openxmlformats.org/officeDocument/2006/relationships/footer" Target="footer1.xml"/><Relationship Id="rId10" Type="http://schemas.openxmlformats.org/officeDocument/2006/relationships/footer" Target="footer2.xml"/><Relationship Id="rId11" Type="http://schemas.openxmlformats.org/officeDocument/2006/relationships/footer" Target="footer3.xml"/><Relationship Id="rId12" Type="http://schemas.openxmlformats.org/officeDocument/2006/relationships/numbering" Target="numbering.xml"/><Relationship Id="rId13" Type="http://schemas.openxmlformats.org/officeDocument/2006/relationships/fontTable" Target="fontTable.xml"/><Relationship Id="rId14" Type="http://schemas.openxmlformats.org/officeDocument/2006/relationships/settings" Target="settings.xml"/><Relationship Id="rId15" Type="http://schemas.openxmlformats.org/officeDocument/2006/relationships/theme" Target="theme/theme1.xml"/>
</Relationships>
</file>

<file path=word/theme/theme1.xml><?xml version="1.0" encoding="utf-8"?>
<a:theme xmlns:a="http://schemas.openxmlformats.org/drawingml/2006/main" xmlns:r="http://schemas.openxmlformats.org/officeDocument/2006/relationships" name="Office Theme">
  <a:themeElements>
    <a:clrScheme name="Office">
      <a:dk1>
        <a:srgbClr val="000000"/>
      </a:dk1>
      <a:lt1>
        <a:srgbClr val="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pitchFamily="0" charset="1"/>
        <a:ea typeface=""/>
        <a:cs typeface=""/>
      </a:majorFont>
      <a:minorFont>
        <a:latin typeface="Calibri" pitchFamily="0" charset="1"/>
        <a:ea typeface=""/>
        <a:cs typeface=""/>
      </a:minorFont>
    </a:fontScheme>
    <a:fmtScheme>
      <a:fillStyleLst>
        <a:solidFill>
          <a:schemeClr val="phClr"/>
        </a:solidFill>
        <a:gradFill>
          <a:gsLst>
            <a:gs pos="0">
              <a:schemeClr val="phClr">
                <a:tint val="50000"/>
              </a:schemeClr>
            </a:gs>
            <a:gs pos="35000">
              <a:schemeClr val="phClr">
                <a:tint val="37000"/>
              </a:schemeClr>
            </a:gs>
            <a:gs pos="100000">
              <a:schemeClr val="phClr">
                <a:tint val="15000"/>
              </a:schemeClr>
            </a:gs>
          </a:gsLst>
          <a:lin ang="16200000" scaled="1"/>
          <a:tileRect l="0" t="0" r="0" b="0"/>
        </a:gradFill>
        <a:gradFill>
          <a:gsLst>
            <a:gs pos="0">
              <a:schemeClr val="phClr">
                <a:shade val="51000"/>
              </a:schemeClr>
            </a:gs>
            <a:gs pos="80000">
              <a:schemeClr val="phClr">
                <a:shade val="93000"/>
              </a:schemeClr>
            </a:gs>
            <a:gs pos="100000">
              <a:schemeClr val="phClr">
                <a:shade val="94000"/>
              </a:schemeClr>
            </a:gs>
          </a:gsLst>
          <a:lin ang="16200000" scaled="0"/>
          <a:tileRect l="0" t="0" r="0" b="0"/>
        </a:gradFill>
      </a:fillStyleLst>
      <a:lnStyleLst>
        <a:ln w="9525" cap="flat" cmpd="sng" algn="ctr">
          <a:prstDash val="solid"/>
        </a:ln>
        <a:ln w="25400" cap="flat" cmpd="sng" algn="ctr">
          <a:prstDash val="solid"/>
        </a:ln>
        <a:ln w="38100" cap="flat" cmpd="sng" algn="ctr">
          <a:prstDash val="solid"/>
        </a:ln>
      </a:lnStyleLst>
      <a:effectStyleLst>
        <a:effectStyle>
          <a:effectLst/>
        </a:effectStyle>
        <a:effectStyle>
          <a:effectLst/>
        </a:effectStyle>
        <a:effectStyle>
          <a:effectLst/>
        </a:effectStyle>
      </a:effectStyleLst>
      <a:bgFillStyleLst>
        <a:solidFill>
          <a:schemeClr val="phClr"/>
        </a:solidFill>
        <a:gradFill>
          <a:gsLst>
            <a:gs pos="0">
              <a:schemeClr val="phClr">
                <a:tint val="40000"/>
              </a:schemeClr>
            </a:gs>
            <a:gs pos="40000">
              <a:schemeClr val="phClr">
                <a:tint val="45000"/>
                <a:shade val="99000"/>
              </a:schemeClr>
            </a:gs>
            <a:gs pos="100000">
              <a:schemeClr val="phClr">
                <a:shade val="20000"/>
              </a:schemeClr>
            </a:gs>
          </a:gsLst>
          <a:path path="circle">
            <a:fillToRect l="50000" t="-80000" r="50000" b="180000"/>
          </a:path>
          <a:tileRect l="0" t="0" r="0" b="0"/>
        </a:gradFill>
        <a:gradFill>
          <a:gsLst>
            <a:gs pos="0">
              <a:schemeClr val="phClr">
                <a:tint val="80000"/>
              </a:schemeClr>
            </a:gs>
            <a:gs pos="100000">
              <a:schemeClr val="phClr">
                <a:shade val="30000"/>
              </a:schemeClr>
            </a:gs>
          </a:gsLst>
          <a:path path="circle">
            <a:fillToRect l="50000" t="50000" r="50000" b="50000"/>
          </a:path>
          <a:tileRect l="0" t="0" r="0" b="0"/>
        </a:gradFill>
      </a:bgFillStyleLst>
    </a:fmtScheme>
  </a:themeElements>
</a:theme>
</file>

<file path=docProps/app.xml><?xml version="1.0" encoding="utf-8"?>
<Properties xmlns="http://schemas.openxmlformats.org/officeDocument/2006/extended-properties" xmlns:vt="http://schemas.openxmlformats.org/officeDocument/2006/docPropsVTypes">
  <Template>Normal_Wordconv.dotm</Template>
  <TotalTime>70</TotalTime>
  <Application>LibreOffice/7.6.2.1$Windows_X86_64 LibreOffice_project/56f7684011345957bbf33a7ee678afaf4d2ba333</Application>
  <AppVersion>15.0000</AppVersion>
  <Pages>13</Pages>
  <Words>4841</Words>
  <Characters>32973</Characters>
  <CharactersWithSpaces>37728</CharactersWithSpaces>
  <Paragraphs>346</Paragraphs>
  <Company>PKiI UMDT</Compan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2023-06-13T12:23:00Z</dcterms:created>
  <dc:creator>dell</dc:creator>
  <dc:description/>
  <dc:language>pl-PL</dc:language>
  <cp:lastModifiedBy/>
  <dcterms:modified xsi:type="dcterms:W3CDTF">2026-02-18T13:54:22Z</dcterms:modified>
  <cp:revision>61</cp:revision>
  <dc:subject/>
  <dc:title/>
</cp:coreProperties>
</file>

<file path=docProps/custom.xml><?xml version="1.0" encoding="utf-8"?>
<Properties xmlns="http://schemas.openxmlformats.org/officeDocument/2006/custom-properties" xmlns:vt="http://schemas.openxmlformats.org/officeDocument/2006/docPropsVTypes"/>
</file>